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66E" w:rsidRDefault="0089366E" w:rsidP="00AA6F7D">
      <w:pPr>
        <w:pStyle w:val="Header"/>
        <w:rPr>
          <w:b/>
          <w:bCs/>
          <w:sz w:val="32"/>
          <w:szCs w:val="32"/>
          <w:u w:val="single"/>
        </w:rPr>
      </w:pPr>
      <w:r w:rsidRPr="0089366E">
        <w:rPr>
          <w:b/>
          <w:bCs/>
          <w:sz w:val="32"/>
          <w:szCs w:val="32"/>
          <w:u w:val="single"/>
        </w:rPr>
        <w:t>Part One: Health literacy</w:t>
      </w:r>
    </w:p>
    <w:p w:rsidR="0089366E" w:rsidRPr="0089366E" w:rsidRDefault="0089366E" w:rsidP="00AA6F7D">
      <w:pPr>
        <w:pStyle w:val="Header"/>
        <w:rPr>
          <w:b/>
          <w:bCs/>
          <w:sz w:val="32"/>
          <w:szCs w:val="32"/>
          <w:u w:val="single"/>
        </w:rPr>
      </w:pPr>
      <w:r w:rsidRPr="0089366E">
        <w:rPr>
          <w:sz w:val="28"/>
          <w:szCs w:val="28"/>
          <w:u w:val="single"/>
        </w:rPr>
        <w:t>Definitions</w:t>
      </w:r>
    </w:p>
    <w:p w:rsidR="0089366E" w:rsidRDefault="0089366E" w:rsidP="00AA6F7D">
      <w:pPr>
        <w:pStyle w:val="Header"/>
        <w:rPr>
          <w:sz w:val="20"/>
          <w:szCs w:val="20"/>
        </w:rPr>
      </w:pPr>
      <w:r>
        <w:rPr>
          <w:sz w:val="20"/>
          <w:szCs w:val="20"/>
        </w:rPr>
        <w:t xml:space="preserve">Health literacy can be broadly understood as “the ability to access, understand, evaluate and communicate information as a way to promote, maintain and improve health in a variety of settings across the life course” (The Smith Family, </w:t>
      </w:r>
      <w:proofErr w:type="spellStart"/>
      <w:r>
        <w:rPr>
          <w:sz w:val="20"/>
          <w:szCs w:val="20"/>
        </w:rPr>
        <w:t>n.d</w:t>
      </w:r>
      <w:proofErr w:type="spellEnd"/>
      <w:r>
        <w:rPr>
          <w:sz w:val="20"/>
          <w:szCs w:val="20"/>
        </w:rPr>
        <w:t>, p.6).</w:t>
      </w:r>
    </w:p>
    <w:p w:rsidR="0089366E" w:rsidRDefault="0089366E" w:rsidP="00AA6F7D">
      <w:pPr>
        <w:pStyle w:val="Header"/>
        <w:rPr>
          <w:sz w:val="20"/>
          <w:szCs w:val="20"/>
        </w:rPr>
      </w:pPr>
    </w:p>
    <w:p w:rsidR="0089366E" w:rsidRDefault="0089366E" w:rsidP="00AA6F7D">
      <w:pPr>
        <w:pStyle w:val="Header"/>
        <w:rPr>
          <w:sz w:val="20"/>
          <w:szCs w:val="20"/>
        </w:rPr>
      </w:pPr>
      <w:r w:rsidRPr="00A81DF3">
        <w:rPr>
          <w:sz w:val="20"/>
          <w:szCs w:val="20"/>
          <w:highlight w:val="yellow"/>
        </w:rPr>
        <w:t>Health</w:t>
      </w:r>
      <w:r w:rsidRPr="00A81DF3">
        <w:rPr>
          <w:sz w:val="20"/>
          <w:szCs w:val="20"/>
          <w:highlight w:val="yellow"/>
        </w:rPr>
        <w:t xml:space="preserve"> literacy </w:t>
      </w:r>
      <w:r w:rsidRPr="00A81DF3">
        <w:rPr>
          <w:sz w:val="20"/>
          <w:szCs w:val="20"/>
          <w:highlight w:val="yellow"/>
        </w:rPr>
        <w:t>…</w:t>
      </w:r>
      <w:r w:rsidRPr="00A81DF3">
        <w:rPr>
          <w:sz w:val="20"/>
          <w:szCs w:val="20"/>
          <w:highlight w:val="yellow"/>
        </w:rPr>
        <w:t xml:space="preserve"> also relates to the adoption of positive behaviours associated with good health. Health literacy </w:t>
      </w:r>
      <w:r w:rsidRPr="00A81DF3">
        <w:rPr>
          <w:sz w:val="20"/>
          <w:szCs w:val="20"/>
          <w:highlight w:val="yellow"/>
        </w:rPr>
        <w:t>…</w:t>
      </w:r>
      <w:r w:rsidRPr="00A81DF3">
        <w:rPr>
          <w:sz w:val="20"/>
          <w:szCs w:val="20"/>
          <w:highlight w:val="yellow"/>
        </w:rPr>
        <w:t>plays an important role in the prevention of ill-health</w:t>
      </w:r>
      <w:r>
        <w:rPr>
          <w:sz w:val="20"/>
          <w:szCs w:val="20"/>
        </w:rPr>
        <w:t>; there is a “causal pathway” between health literacy and health (</w:t>
      </w:r>
      <w:proofErr w:type="spellStart"/>
      <w:r>
        <w:rPr>
          <w:sz w:val="20"/>
          <w:szCs w:val="20"/>
        </w:rPr>
        <w:t>Keleher</w:t>
      </w:r>
      <w:proofErr w:type="spellEnd"/>
      <w:r>
        <w:rPr>
          <w:sz w:val="20"/>
          <w:szCs w:val="20"/>
        </w:rPr>
        <w:t xml:space="preserve"> and </w:t>
      </w:r>
      <w:proofErr w:type="spellStart"/>
      <w:r>
        <w:rPr>
          <w:sz w:val="20"/>
          <w:szCs w:val="20"/>
        </w:rPr>
        <w:t>Hagger</w:t>
      </w:r>
      <w:proofErr w:type="spellEnd"/>
      <w:r>
        <w:rPr>
          <w:sz w:val="20"/>
          <w:szCs w:val="20"/>
        </w:rPr>
        <w:t>, 2007, p.25).</w:t>
      </w:r>
    </w:p>
    <w:p w:rsidR="0089366E" w:rsidRDefault="0089366E" w:rsidP="00AA6F7D">
      <w:pPr>
        <w:pStyle w:val="Header"/>
        <w:rPr>
          <w:sz w:val="20"/>
          <w:szCs w:val="20"/>
        </w:rPr>
      </w:pPr>
    </w:p>
    <w:p w:rsidR="0089366E" w:rsidRDefault="0089366E" w:rsidP="00AA6F7D">
      <w:pPr>
        <w:pStyle w:val="Header"/>
        <w:rPr>
          <w:sz w:val="20"/>
          <w:szCs w:val="20"/>
        </w:rPr>
      </w:pPr>
      <w:r>
        <w:rPr>
          <w:sz w:val="20"/>
          <w:szCs w:val="20"/>
        </w:rPr>
        <w:t>Health</w:t>
      </w:r>
      <w:r>
        <w:rPr>
          <w:sz w:val="20"/>
          <w:szCs w:val="20"/>
        </w:rPr>
        <w:t xml:space="preserve"> literacy can be understood as an </w:t>
      </w:r>
      <w:r>
        <w:rPr>
          <w:sz w:val="20"/>
          <w:szCs w:val="20"/>
        </w:rPr>
        <w:t>individual’s</w:t>
      </w:r>
      <w:r>
        <w:rPr>
          <w:sz w:val="20"/>
          <w:szCs w:val="20"/>
        </w:rPr>
        <w:t xml:space="preserve"> skills and their ability to apply these skills (Australian Bureau of Statistics, 2008a, p.2).</w:t>
      </w:r>
    </w:p>
    <w:p w:rsidR="0089366E" w:rsidRDefault="0089366E" w:rsidP="00AA6F7D">
      <w:pPr>
        <w:pStyle w:val="Header"/>
        <w:rPr>
          <w:sz w:val="28"/>
          <w:szCs w:val="28"/>
          <w:u w:val="single"/>
        </w:rPr>
      </w:pPr>
      <w:r w:rsidRPr="0089366E">
        <w:rPr>
          <w:sz w:val="28"/>
          <w:szCs w:val="28"/>
          <w:u w:val="single"/>
        </w:rPr>
        <w:t>Thinking more broadly about health literacy – why is it important?</w:t>
      </w:r>
    </w:p>
    <w:p w:rsidR="0089366E" w:rsidRDefault="0089366E" w:rsidP="00AA6F7D">
      <w:pPr>
        <w:pStyle w:val="Header"/>
        <w:rPr>
          <w:sz w:val="28"/>
          <w:szCs w:val="28"/>
          <w:u w:val="single"/>
        </w:rPr>
      </w:pPr>
    </w:p>
    <w:p w:rsidR="0089366E" w:rsidRDefault="00491B75" w:rsidP="00AA6F7D">
      <w:pPr>
        <w:pStyle w:val="Header"/>
        <w:rPr>
          <w:sz w:val="20"/>
          <w:szCs w:val="20"/>
        </w:rPr>
      </w:pPr>
      <w:r>
        <w:rPr>
          <w:sz w:val="20"/>
          <w:szCs w:val="20"/>
        </w:rPr>
        <w:t xml:space="preserve">In 2006, 41% of adults had “adequate or better health literacy skills”, scoring Level 3 or higher. Alarmingly, </w:t>
      </w:r>
      <w:r w:rsidRPr="00A81DF3">
        <w:rPr>
          <w:sz w:val="20"/>
          <w:szCs w:val="20"/>
          <w:highlight w:val="yellow"/>
        </w:rPr>
        <w:t>19% of adults scored Level 1 and 40% of adults had Level 2 health literacy skills: “these people had difficulty with tasks such as locating information on a bottle of medicine”</w:t>
      </w:r>
      <w:r>
        <w:rPr>
          <w:sz w:val="20"/>
          <w:szCs w:val="20"/>
        </w:rPr>
        <w:t xml:space="preserve"> about dosage (Australian Bureau of Statistics, 2009b, </w:t>
      </w:r>
      <w:proofErr w:type="gramStart"/>
      <w:r>
        <w:rPr>
          <w:sz w:val="20"/>
          <w:szCs w:val="20"/>
        </w:rPr>
        <w:t>pp.8</w:t>
      </w:r>
      <w:proofErr w:type="gramEnd"/>
      <w:r>
        <w:rPr>
          <w:sz w:val="20"/>
          <w:szCs w:val="20"/>
        </w:rPr>
        <w:t xml:space="preserve">–11). The effects of poor health literacy may include ignorance about “medical care and conditions, [and] decreased use of preventative services” (Johnston, Lea and </w:t>
      </w:r>
      <w:proofErr w:type="spellStart"/>
      <w:r>
        <w:rPr>
          <w:sz w:val="20"/>
          <w:szCs w:val="20"/>
        </w:rPr>
        <w:t>Carapetis</w:t>
      </w:r>
      <w:proofErr w:type="spellEnd"/>
      <w:r>
        <w:rPr>
          <w:sz w:val="20"/>
          <w:szCs w:val="20"/>
        </w:rPr>
        <w:t>, 2009, p.694).</w:t>
      </w:r>
    </w:p>
    <w:p w:rsidR="00491B75" w:rsidRDefault="00491B75" w:rsidP="00AA6F7D">
      <w:pPr>
        <w:pStyle w:val="Header"/>
        <w:rPr>
          <w:sz w:val="20"/>
          <w:szCs w:val="20"/>
        </w:rPr>
      </w:pPr>
    </w:p>
    <w:p w:rsidR="00491B75" w:rsidRDefault="00491B75" w:rsidP="00AA6F7D">
      <w:pPr>
        <w:pStyle w:val="Header"/>
        <w:rPr>
          <w:sz w:val="20"/>
          <w:szCs w:val="20"/>
        </w:rPr>
      </w:pPr>
      <w:r>
        <w:rPr>
          <w:sz w:val="20"/>
          <w:szCs w:val="20"/>
        </w:rPr>
        <w:t xml:space="preserve">Clearly, there is a need to help Australians develop adequate levels of health literacy. In addition to the benefits to an </w:t>
      </w:r>
      <w:r w:rsidR="00A81DF3">
        <w:rPr>
          <w:sz w:val="20"/>
          <w:szCs w:val="20"/>
        </w:rPr>
        <w:t>individual’s</w:t>
      </w:r>
      <w:r>
        <w:rPr>
          <w:sz w:val="20"/>
          <w:szCs w:val="20"/>
        </w:rPr>
        <w:t xml:space="preserve"> health, there are advantages associated with increasing the health literacy of all Australians. </w:t>
      </w:r>
      <w:r w:rsidRPr="00A81DF3">
        <w:rPr>
          <w:sz w:val="20"/>
          <w:szCs w:val="20"/>
        </w:rPr>
        <w:t>An increase in the proportion of individuals with “adequate levels” of health literacy may also have a positive impact on the Australian health system, by preventing “illness and chronic disease” and reducing the “rates of accident and death” (Australian</w:t>
      </w:r>
      <w:r>
        <w:rPr>
          <w:sz w:val="20"/>
          <w:szCs w:val="20"/>
        </w:rPr>
        <w:t xml:space="preserve"> Bureau of Statistics, 2009b, p.8).</w:t>
      </w:r>
    </w:p>
    <w:p w:rsidR="00491B75" w:rsidRPr="0089366E" w:rsidRDefault="00491B75" w:rsidP="00AA6F7D">
      <w:pPr>
        <w:pStyle w:val="Header"/>
        <w:rPr>
          <w:b/>
          <w:bCs/>
          <w:sz w:val="32"/>
          <w:szCs w:val="32"/>
          <w:u w:val="single"/>
        </w:rPr>
      </w:pPr>
    </w:p>
    <w:p w:rsidR="00AA6F7D" w:rsidRPr="00AA6F7D" w:rsidRDefault="00AA6F7D" w:rsidP="00AA6F7D">
      <w:pPr>
        <w:pStyle w:val="Header"/>
        <w:rPr>
          <w:b/>
          <w:bCs/>
          <w:sz w:val="32"/>
          <w:szCs w:val="32"/>
          <w:u w:val="single"/>
        </w:rPr>
      </w:pPr>
      <w:r w:rsidRPr="00AA6F7D">
        <w:rPr>
          <w:b/>
          <w:bCs/>
          <w:sz w:val="32"/>
          <w:szCs w:val="32"/>
          <w:u w:val="single"/>
        </w:rPr>
        <w:t>Part Two: Linking health and education</w:t>
      </w:r>
    </w:p>
    <w:p w:rsidR="00AA6F7D" w:rsidRPr="00AA6F7D" w:rsidRDefault="00AA6F7D" w:rsidP="00AA6F7D">
      <w:pPr>
        <w:rPr>
          <w:sz w:val="28"/>
          <w:szCs w:val="28"/>
          <w:u w:val="single"/>
        </w:rPr>
      </w:pPr>
      <w:r w:rsidRPr="00AA6F7D">
        <w:rPr>
          <w:sz w:val="28"/>
          <w:szCs w:val="28"/>
          <w:u w:val="single"/>
        </w:rPr>
        <w:t>The link between poor health, disadvantage and education</w:t>
      </w:r>
    </w:p>
    <w:p w:rsidR="00AA6F7D" w:rsidRDefault="00AA6F7D" w:rsidP="00AA6F7D">
      <w:pPr>
        <w:pStyle w:val="Header"/>
        <w:rPr>
          <w:sz w:val="20"/>
          <w:szCs w:val="20"/>
        </w:rPr>
      </w:pPr>
      <w:r w:rsidRPr="00A81DF3">
        <w:rPr>
          <w:sz w:val="20"/>
          <w:szCs w:val="20"/>
          <w:highlight w:val="yellow"/>
        </w:rPr>
        <w:t>Health literacy has a significant impact upon the health of all people and affects decisions made by individuals about diet, exercise and lifestyle on a daily basis</w:t>
      </w:r>
      <w:r>
        <w:rPr>
          <w:sz w:val="20"/>
          <w:szCs w:val="20"/>
        </w:rPr>
        <w:t>.</w:t>
      </w:r>
    </w:p>
    <w:p w:rsidR="00A81DF3" w:rsidRDefault="00A81DF3" w:rsidP="00AA6F7D">
      <w:pPr>
        <w:pStyle w:val="Header"/>
        <w:rPr>
          <w:sz w:val="20"/>
          <w:szCs w:val="20"/>
        </w:rPr>
      </w:pPr>
    </w:p>
    <w:p w:rsidR="00AA6F7D" w:rsidRDefault="00A81DF3" w:rsidP="00AA6F7D">
      <w:pPr>
        <w:pStyle w:val="Header"/>
        <w:rPr>
          <w:sz w:val="20"/>
          <w:szCs w:val="20"/>
        </w:rPr>
      </w:pPr>
      <w:r>
        <w:rPr>
          <w:sz w:val="20"/>
          <w:szCs w:val="20"/>
        </w:rPr>
        <w:t xml:space="preserve"> “E</w:t>
      </w:r>
      <w:r w:rsidR="00AA6F7D">
        <w:rPr>
          <w:sz w:val="20"/>
          <w:szCs w:val="20"/>
        </w:rPr>
        <w:t xml:space="preserve">ducation promotes health and good health leads to improved education prospects” (Johnston, Lea and </w:t>
      </w:r>
      <w:proofErr w:type="spellStart"/>
      <w:r w:rsidR="00AA6F7D">
        <w:rPr>
          <w:sz w:val="20"/>
          <w:szCs w:val="20"/>
        </w:rPr>
        <w:t>Carapetis</w:t>
      </w:r>
      <w:proofErr w:type="spellEnd"/>
      <w:r w:rsidR="00AA6F7D">
        <w:rPr>
          <w:sz w:val="20"/>
          <w:szCs w:val="20"/>
        </w:rPr>
        <w:t xml:space="preserve">, 2009, p.693). </w:t>
      </w:r>
      <w:r>
        <w:rPr>
          <w:sz w:val="20"/>
          <w:szCs w:val="20"/>
        </w:rPr>
        <w:t>…</w:t>
      </w:r>
      <w:r w:rsidR="00AA6F7D">
        <w:rPr>
          <w:sz w:val="20"/>
          <w:szCs w:val="20"/>
        </w:rPr>
        <w:t xml:space="preserve"> </w:t>
      </w:r>
      <w:proofErr w:type="gramStart"/>
      <w:r w:rsidR="00AA6F7D">
        <w:rPr>
          <w:sz w:val="20"/>
          <w:szCs w:val="20"/>
        </w:rPr>
        <w:t>experiences</w:t>
      </w:r>
      <w:proofErr w:type="gramEnd"/>
      <w:r w:rsidR="00AA6F7D">
        <w:rPr>
          <w:sz w:val="20"/>
          <w:szCs w:val="20"/>
        </w:rPr>
        <w:t xml:space="preserve"> early in life “have far reaching consequences” for health and wellbeing. Further, </w:t>
      </w:r>
      <w:r w:rsidR="00AA6F7D" w:rsidRPr="001D500D">
        <w:rPr>
          <w:sz w:val="20"/>
          <w:szCs w:val="20"/>
          <w:highlight w:val="yellow"/>
        </w:rPr>
        <w:t>“educational attainment” has a positive impact upon health</w:t>
      </w:r>
      <w:r w:rsidR="00AA6F7D">
        <w:rPr>
          <w:sz w:val="20"/>
          <w:szCs w:val="20"/>
        </w:rPr>
        <w:t xml:space="preserve"> through numerous pathways, including greater employment opportunities as well as better health-related choices and health literacy.</w:t>
      </w:r>
    </w:p>
    <w:p w:rsidR="00AA6F7D" w:rsidRDefault="00AA6F7D" w:rsidP="00AA6F7D">
      <w:pPr>
        <w:pStyle w:val="Header"/>
        <w:rPr>
          <w:b/>
          <w:sz w:val="28"/>
          <w:szCs w:val="28"/>
          <w:u w:val="single"/>
        </w:rPr>
      </w:pPr>
    </w:p>
    <w:p w:rsidR="00A81DF3" w:rsidRDefault="00AA6F7D" w:rsidP="00AA6F7D">
      <w:pPr>
        <w:pStyle w:val="Header"/>
        <w:rPr>
          <w:sz w:val="20"/>
          <w:szCs w:val="20"/>
        </w:rPr>
      </w:pPr>
      <w:r>
        <w:rPr>
          <w:sz w:val="20"/>
          <w:szCs w:val="20"/>
        </w:rPr>
        <w:t xml:space="preserve">Compared to the socially and economically advantaged, </w:t>
      </w:r>
      <w:r w:rsidRPr="001D500D">
        <w:rPr>
          <w:sz w:val="20"/>
          <w:szCs w:val="20"/>
          <w:highlight w:val="yellow"/>
        </w:rPr>
        <w:t>disadvantaged Australians “are more likely to have shorter lives, higher levels of disease risk factors and lower use of preventative health services”</w:t>
      </w:r>
      <w:r>
        <w:rPr>
          <w:sz w:val="20"/>
          <w:szCs w:val="20"/>
        </w:rPr>
        <w:t xml:space="preserve"> (Australian Institute of Health and Welfare, 2008, </w:t>
      </w:r>
      <w:proofErr w:type="spellStart"/>
      <w:r>
        <w:rPr>
          <w:sz w:val="20"/>
          <w:szCs w:val="20"/>
        </w:rPr>
        <w:t>pp.xiii</w:t>
      </w:r>
      <w:proofErr w:type="spellEnd"/>
      <w:r>
        <w:rPr>
          <w:sz w:val="20"/>
          <w:szCs w:val="20"/>
        </w:rPr>
        <w:t xml:space="preserve">; 126). </w:t>
      </w:r>
    </w:p>
    <w:p w:rsidR="00A81DF3" w:rsidRDefault="00A81DF3" w:rsidP="00AA6F7D">
      <w:pPr>
        <w:pStyle w:val="Header"/>
        <w:rPr>
          <w:sz w:val="20"/>
          <w:szCs w:val="20"/>
        </w:rPr>
      </w:pPr>
    </w:p>
    <w:p w:rsidR="00AA6F7D" w:rsidRDefault="00AA6F7D" w:rsidP="00AA6F7D">
      <w:pPr>
        <w:pStyle w:val="Header"/>
        <w:rPr>
          <w:sz w:val="20"/>
          <w:szCs w:val="20"/>
        </w:rPr>
      </w:pPr>
      <w:r w:rsidRPr="001D500D">
        <w:rPr>
          <w:sz w:val="20"/>
          <w:szCs w:val="20"/>
          <w:highlight w:val="yellow"/>
        </w:rPr>
        <w:t xml:space="preserve">Disadvantage tends to continue </w:t>
      </w:r>
      <w:r w:rsidR="00A81DF3" w:rsidRPr="001D500D">
        <w:rPr>
          <w:sz w:val="20"/>
          <w:szCs w:val="20"/>
          <w:highlight w:val="yellow"/>
        </w:rPr>
        <w:t>into the next</w:t>
      </w:r>
      <w:r w:rsidRPr="001D500D">
        <w:rPr>
          <w:sz w:val="20"/>
          <w:szCs w:val="20"/>
          <w:highlight w:val="yellow"/>
        </w:rPr>
        <w:t xml:space="preserve"> generations</w:t>
      </w:r>
      <w:r>
        <w:rPr>
          <w:sz w:val="20"/>
          <w:szCs w:val="20"/>
        </w:rPr>
        <w:t xml:space="preserve">, which in turn influences health: “family factors and personal experience of lower income, and fewer opportunities for education and employment can all affect a </w:t>
      </w:r>
      <w:r>
        <w:rPr>
          <w:sz w:val="20"/>
          <w:szCs w:val="20"/>
        </w:rPr>
        <w:t>person’s</w:t>
      </w:r>
      <w:r>
        <w:rPr>
          <w:sz w:val="20"/>
          <w:szCs w:val="20"/>
        </w:rPr>
        <w:t xml:space="preserve"> health in many ways. This may mean </w:t>
      </w:r>
      <w:r w:rsidRPr="001D500D">
        <w:rPr>
          <w:sz w:val="20"/>
          <w:szCs w:val="20"/>
          <w:highlight w:val="yellow"/>
        </w:rPr>
        <w:t>less satisfactory early development before and after birth, less opportunity for health literacy, and a greater influence of family and friends towards unhealthy behaviours</w:t>
      </w:r>
      <w:r>
        <w:rPr>
          <w:sz w:val="20"/>
          <w:szCs w:val="20"/>
        </w:rPr>
        <w:t xml:space="preserve"> such as smoking, heavy alcohol use and a poor diet” (Australian Institute of Health and Welfare, 2010, p.252).</w:t>
      </w:r>
    </w:p>
    <w:p w:rsidR="00AA6F7D" w:rsidRDefault="00AA6F7D" w:rsidP="00AA6F7D">
      <w:pPr>
        <w:pStyle w:val="Header"/>
        <w:rPr>
          <w:b/>
          <w:sz w:val="28"/>
          <w:szCs w:val="28"/>
          <w:u w:val="single"/>
        </w:rPr>
      </w:pPr>
    </w:p>
    <w:p w:rsidR="00AA6F7D" w:rsidRDefault="00AA6F7D" w:rsidP="00AA6F7D">
      <w:pPr>
        <w:pStyle w:val="Header"/>
        <w:rPr>
          <w:sz w:val="20"/>
          <w:szCs w:val="20"/>
        </w:rPr>
      </w:pPr>
      <w:r>
        <w:rPr>
          <w:sz w:val="20"/>
          <w:szCs w:val="20"/>
        </w:rPr>
        <w:t xml:space="preserve">The link between literacy and health literacy is evident in parts of </w:t>
      </w:r>
      <w:r>
        <w:rPr>
          <w:sz w:val="20"/>
          <w:szCs w:val="20"/>
        </w:rPr>
        <w:t>Australia’s</w:t>
      </w:r>
      <w:r>
        <w:rPr>
          <w:sz w:val="20"/>
          <w:szCs w:val="20"/>
        </w:rPr>
        <w:t xml:space="preserve"> Indigenous population. It is clear that </w:t>
      </w:r>
      <w:r w:rsidRPr="001D500D">
        <w:rPr>
          <w:sz w:val="20"/>
          <w:szCs w:val="20"/>
          <w:highlight w:val="yellow"/>
        </w:rPr>
        <w:t>“poor retention in school, illiteracy and severely reduced life expectancy are well recognised crises for many Aboriginal communities”,</w:t>
      </w:r>
      <w:r>
        <w:rPr>
          <w:sz w:val="20"/>
          <w:szCs w:val="20"/>
        </w:rPr>
        <w:t xml:space="preserve"> and education-related factors shape an </w:t>
      </w:r>
      <w:r>
        <w:rPr>
          <w:sz w:val="20"/>
          <w:szCs w:val="20"/>
        </w:rPr>
        <w:t>individual’s</w:t>
      </w:r>
      <w:r>
        <w:rPr>
          <w:sz w:val="20"/>
          <w:szCs w:val="20"/>
        </w:rPr>
        <w:t xml:space="preserve"> level of “health literacy” (</w:t>
      </w:r>
      <w:proofErr w:type="spellStart"/>
      <w:r>
        <w:rPr>
          <w:sz w:val="20"/>
          <w:szCs w:val="20"/>
        </w:rPr>
        <w:t>Keleher</w:t>
      </w:r>
      <w:proofErr w:type="spellEnd"/>
      <w:r>
        <w:rPr>
          <w:sz w:val="20"/>
          <w:szCs w:val="20"/>
        </w:rPr>
        <w:t xml:space="preserve"> and </w:t>
      </w:r>
      <w:proofErr w:type="spellStart"/>
      <w:r>
        <w:rPr>
          <w:sz w:val="20"/>
          <w:szCs w:val="20"/>
        </w:rPr>
        <w:t>Hagger</w:t>
      </w:r>
      <w:proofErr w:type="spellEnd"/>
      <w:r>
        <w:rPr>
          <w:sz w:val="20"/>
          <w:szCs w:val="20"/>
        </w:rPr>
        <w:t>, 2007, pp.25; 27).</w:t>
      </w:r>
    </w:p>
    <w:p w:rsidR="00AA6F7D" w:rsidRDefault="00AA6F7D" w:rsidP="00AA6F7D">
      <w:pPr>
        <w:pStyle w:val="Header"/>
        <w:rPr>
          <w:b/>
          <w:sz w:val="28"/>
          <w:szCs w:val="28"/>
          <w:u w:val="single"/>
        </w:rPr>
      </w:pPr>
    </w:p>
    <w:p w:rsidR="00AA6F7D" w:rsidRDefault="00AA6F7D" w:rsidP="00AA6F7D">
      <w:pPr>
        <w:pStyle w:val="Header"/>
        <w:rPr>
          <w:sz w:val="20"/>
          <w:szCs w:val="20"/>
        </w:rPr>
      </w:pPr>
      <w:r>
        <w:rPr>
          <w:sz w:val="20"/>
          <w:szCs w:val="20"/>
        </w:rPr>
        <w:lastRenderedPageBreak/>
        <w:t>“Indigenous people with low levels of educational attainment were more likely…to regularly smoke, consume alcohol at risky or high-risk levels and engage in low levels of exercise, and were also less likely to eat fruit or vegetables daily” (Australian Institute of Health and Welfare, 2010, p.245).</w:t>
      </w:r>
    </w:p>
    <w:p w:rsidR="00AA6F7D" w:rsidRDefault="00AA6F7D" w:rsidP="00AA6F7D">
      <w:pPr>
        <w:pStyle w:val="Header"/>
        <w:rPr>
          <w:sz w:val="20"/>
          <w:szCs w:val="20"/>
        </w:rPr>
      </w:pPr>
    </w:p>
    <w:p w:rsidR="00AA6F7D" w:rsidRDefault="00AA6F7D" w:rsidP="00AA6F7D">
      <w:pPr>
        <w:pStyle w:val="Header"/>
        <w:rPr>
          <w:sz w:val="20"/>
          <w:szCs w:val="20"/>
        </w:rPr>
      </w:pPr>
      <w:r>
        <w:rPr>
          <w:sz w:val="20"/>
          <w:szCs w:val="20"/>
        </w:rPr>
        <w:t xml:space="preserve">Indigenous health problems are significant because of “the link between poor health and impaired educational opportunity” (Australian Medical Association, 2006, pp.1; 4). Put simply, </w:t>
      </w:r>
      <w:r w:rsidRPr="001D500D">
        <w:rPr>
          <w:sz w:val="20"/>
          <w:szCs w:val="20"/>
          <w:highlight w:val="yellow"/>
        </w:rPr>
        <w:t>healthy children are better placed to “attend” school</w:t>
      </w:r>
      <w:r>
        <w:rPr>
          <w:sz w:val="20"/>
          <w:szCs w:val="20"/>
        </w:rPr>
        <w:t xml:space="preserve"> (Australian Bureau of Statistics, 2008b, p.25) </w:t>
      </w:r>
      <w:r w:rsidRPr="001D500D">
        <w:rPr>
          <w:sz w:val="20"/>
          <w:szCs w:val="20"/>
          <w:highlight w:val="yellow"/>
        </w:rPr>
        <w:t>and “learn and participate in school activities”</w:t>
      </w:r>
      <w:r>
        <w:rPr>
          <w:sz w:val="20"/>
          <w:szCs w:val="20"/>
        </w:rPr>
        <w:t xml:space="preserve"> (MCEETYA, as cited in Australian Institute of Health and Welfare, 2005).</w:t>
      </w:r>
    </w:p>
    <w:p w:rsidR="00806F18" w:rsidRDefault="00806F18" w:rsidP="00AA6F7D">
      <w:pPr>
        <w:pStyle w:val="Header"/>
        <w:rPr>
          <w:sz w:val="20"/>
          <w:szCs w:val="20"/>
        </w:rPr>
      </w:pPr>
    </w:p>
    <w:p w:rsidR="00AA6F7D" w:rsidRDefault="00806F18" w:rsidP="00AA6F7D">
      <w:pPr>
        <w:pStyle w:val="Header"/>
        <w:rPr>
          <w:sz w:val="20"/>
          <w:szCs w:val="20"/>
        </w:rPr>
      </w:pPr>
      <w:r>
        <w:rPr>
          <w:sz w:val="20"/>
          <w:szCs w:val="20"/>
        </w:rPr>
        <w:t xml:space="preserve">Currently, </w:t>
      </w:r>
      <w:r w:rsidRPr="001D500D">
        <w:rPr>
          <w:sz w:val="20"/>
          <w:szCs w:val="20"/>
          <w:highlight w:val="yellow"/>
        </w:rPr>
        <w:t>one in seven Australian children are living in disadvantage and do not have access to the same educational, health or life opportunities</w:t>
      </w:r>
      <w:r>
        <w:rPr>
          <w:sz w:val="20"/>
          <w:szCs w:val="20"/>
        </w:rPr>
        <w:t xml:space="preserve"> that many of us enjoy and often take for granted. To get the most from life, good health and wellbeing are fundamentally important, but the </w:t>
      </w:r>
      <w:r w:rsidRPr="001D500D">
        <w:rPr>
          <w:sz w:val="20"/>
          <w:szCs w:val="20"/>
          <w:highlight w:val="yellow"/>
        </w:rPr>
        <w:t>ability to make healthy decisions is a skill that has to be learned.</w:t>
      </w:r>
    </w:p>
    <w:p w:rsidR="003A4103" w:rsidRDefault="003A4103" w:rsidP="00AA6F7D">
      <w:pPr>
        <w:pStyle w:val="Header"/>
        <w:rPr>
          <w:sz w:val="20"/>
          <w:szCs w:val="20"/>
        </w:rPr>
      </w:pPr>
    </w:p>
    <w:p w:rsidR="003A4103" w:rsidRDefault="003A4103" w:rsidP="00AA6F7D">
      <w:pPr>
        <w:pStyle w:val="Header"/>
        <w:rPr>
          <w:sz w:val="28"/>
          <w:szCs w:val="28"/>
          <w:u w:val="single"/>
        </w:rPr>
      </w:pPr>
      <w:proofErr w:type="spellStart"/>
      <w:r w:rsidRPr="003A4103">
        <w:rPr>
          <w:sz w:val="28"/>
          <w:szCs w:val="28"/>
          <w:u w:val="single"/>
        </w:rPr>
        <w:t>Children‟s</w:t>
      </w:r>
      <w:proofErr w:type="spellEnd"/>
      <w:r w:rsidRPr="003A4103">
        <w:rPr>
          <w:sz w:val="28"/>
          <w:szCs w:val="28"/>
          <w:u w:val="single"/>
        </w:rPr>
        <w:t xml:space="preserve"> health in the early years: Low levels of child development</w:t>
      </w:r>
    </w:p>
    <w:p w:rsidR="003A4103" w:rsidRDefault="003A4103" w:rsidP="00AA6F7D">
      <w:pPr>
        <w:pStyle w:val="Header"/>
        <w:rPr>
          <w:sz w:val="28"/>
          <w:szCs w:val="28"/>
          <w:u w:val="single"/>
        </w:rPr>
      </w:pPr>
    </w:p>
    <w:p w:rsidR="003A4103" w:rsidRDefault="003A4103" w:rsidP="003A4103">
      <w:pPr>
        <w:pStyle w:val="Header"/>
        <w:rPr>
          <w:sz w:val="20"/>
          <w:szCs w:val="20"/>
        </w:rPr>
      </w:pPr>
      <w:r>
        <w:rPr>
          <w:sz w:val="20"/>
          <w:szCs w:val="20"/>
        </w:rPr>
        <w:t>Early childhood is identified as a period when “the foundations” for subsequent health and wellbeing are established (Australian Institute of Health and Welfare, 2008, p.274</w:t>
      </w:r>
      <w:r w:rsidRPr="001D500D">
        <w:rPr>
          <w:sz w:val="20"/>
          <w:szCs w:val="20"/>
          <w:highlight w:val="yellow"/>
        </w:rPr>
        <w:t>). Several factors</w:t>
      </w:r>
      <w:r>
        <w:rPr>
          <w:sz w:val="20"/>
          <w:szCs w:val="20"/>
        </w:rPr>
        <w:t xml:space="preserve"> have been identified for their </w:t>
      </w:r>
      <w:r w:rsidRPr="001D500D">
        <w:rPr>
          <w:sz w:val="20"/>
          <w:szCs w:val="20"/>
          <w:highlight w:val="yellow"/>
        </w:rPr>
        <w:t>positive influence on “health and development”,</w:t>
      </w:r>
      <w:r>
        <w:rPr>
          <w:sz w:val="20"/>
          <w:szCs w:val="20"/>
        </w:rPr>
        <w:t xml:space="preserve"> including “</w:t>
      </w:r>
      <w:r w:rsidRPr="001D500D">
        <w:rPr>
          <w:sz w:val="20"/>
          <w:szCs w:val="20"/>
          <w:highlight w:val="yellow"/>
        </w:rPr>
        <w:t>good dental health, infant breastfeeding, physical activity and sound nutrition”</w:t>
      </w:r>
      <w:r>
        <w:rPr>
          <w:sz w:val="20"/>
          <w:szCs w:val="20"/>
        </w:rPr>
        <w:t xml:space="preserve"> (Australian Institute of Health and Welfare, 2010, p.301). In particular, the </w:t>
      </w:r>
      <w:r w:rsidRPr="001D500D">
        <w:rPr>
          <w:sz w:val="20"/>
          <w:szCs w:val="20"/>
          <w:highlight w:val="yellow"/>
        </w:rPr>
        <w:t>first three years lay the “foundation” for all aspects of child development</w:t>
      </w:r>
      <w:r>
        <w:rPr>
          <w:sz w:val="20"/>
          <w:szCs w:val="20"/>
        </w:rPr>
        <w:t xml:space="preserve">, which is why “strengthening early childhood education” is one of the priorities of the </w:t>
      </w:r>
      <w:r w:rsidRPr="003A4103">
        <w:rPr>
          <w:sz w:val="20"/>
          <w:szCs w:val="20"/>
        </w:rPr>
        <w:t xml:space="preserve">Melbourne Declaration on Educational Goals for Young Australians </w:t>
      </w:r>
      <w:r>
        <w:rPr>
          <w:sz w:val="20"/>
          <w:szCs w:val="20"/>
        </w:rPr>
        <w:t>(Ministerial Council on Education, Employment, Training and Youth Affairs, 2008, p.11).</w:t>
      </w:r>
    </w:p>
    <w:p w:rsidR="00442540" w:rsidRPr="003A4103" w:rsidRDefault="00442540" w:rsidP="003A4103">
      <w:pPr>
        <w:pStyle w:val="Header"/>
        <w:rPr>
          <w:sz w:val="20"/>
          <w:szCs w:val="20"/>
        </w:rPr>
      </w:pPr>
    </w:p>
    <w:p w:rsidR="003A4103" w:rsidRDefault="00442540" w:rsidP="00AA6F7D">
      <w:pPr>
        <w:pStyle w:val="Header"/>
        <w:rPr>
          <w:sz w:val="20"/>
          <w:szCs w:val="20"/>
        </w:rPr>
      </w:pPr>
      <w:r>
        <w:rPr>
          <w:sz w:val="20"/>
          <w:szCs w:val="20"/>
        </w:rPr>
        <w:t xml:space="preserve">The </w:t>
      </w:r>
      <w:r w:rsidRPr="001D500D">
        <w:rPr>
          <w:i/>
          <w:iCs/>
          <w:sz w:val="20"/>
          <w:szCs w:val="20"/>
          <w:highlight w:val="yellow"/>
        </w:rPr>
        <w:t>National Headline Indicators for Children’s Health</w:t>
      </w:r>
      <w:r>
        <w:rPr>
          <w:i/>
          <w:iCs/>
          <w:sz w:val="20"/>
          <w:szCs w:val="20"/>
        </w:rPr>
        <w:t xml:space="preserve"> </w:t>
      </w:r>
      <w:r>
        <w:rPr>
          <w:sz w:val="20"/>
          <w:szCs w:val="20"/>
        </w:rPr>
        <w:t xml:space="preserve">includes </w:t>
      </w:r>
      <w:r w:rsidRPr="001D500D">
        <w:rPr>
          <w:sz w:val="20"/>
          <w:szCs w:val="20"/>
          <w:highlight w:val="yellow"/>
        </w:rPr>
        <w:t>dental health and the prevalence of overweight and obesity</w:t>
      </w:r>
      <w:r>
        <w:rPr>
          <w:sz w:val="20"/>
          <w:szCs w:val="20"/>
        </w:rPr>
        <w:t xml:space="preserve">, reflecting concerns </w:t>
      </w:r>
      <w:proofErr w:type="gramStart"/>
      <w:r>
        <w:rPr>
          <w:sz w:val="20"/>
          <w:szCs w:val="20"/>
        </w:rPr>
        <w:t>raised</w:t>
      </w:r>
      <w:proofErr w:type="gramEnd"/>
      <w:r>
        <w:rPr>
          <w:sz w:val="20"/>
          <w:szCs w:val="20"/>
        </w:rPr>
        <w:t xml:space="preserve"> in recent research. It is also significant to note the inclusion of other headline indicators, such as “</w:t>
      </w:r>
      <w:r w:rsidRPr="001D500D">
        <w:rPr>
          <w:sz w:val="20"/>
          <w:szCs w:val="20"/>
          <w:highlight w:val="yellow"/>
        </w:rPr>
        <w:t>attending early childhood education programs”,</w:t>
      </w:r>
      <w:r>
        <w:rPr>
          <w:sz w:val="20"/>
          <w:szCs w:val="20"/>
        </w:rPr>
        <w:t xml:space="preserve"> “</w:t>
      </w:r>
      <w:r w:rsidRPr="001D500D">
        <w:rPr>
          <w:sz w:val="20"/>
          <w:szCs w:val="20"/>
          <w:highlight w:val="yellow"/>
        </w:rPr>
        <w:t>transition to primary school</w:t>
      </w:r>
      <w:r>
        <w:rPr>
          <w:sz w:val="20"/>
          <w:szCs w:val="20"/>
        </w:rPr>
        <w:t xml:space="preserve">” and </w:t>
      </w:r>
      <w:r w:rsidRPr="001D500D">
        <w:rPr>
          <w:sz w:val="20"/>
          <w:szCs w:val="20"/>
          <w:highlight w:val="yellow"/>
        </w:rPr>
        <w:t>literacy and numeracy</w:t>
      </w:r>
      <w:r>
        <w:rPr>
          <w:sz w:val="20"/>
          <w:szCs w:val="20"/>
        </w:rPr>
        <w:t>, as this makes clear the associations between educatio</w:t>
      </w:r>
      <w:r>
        <w:rPr>
          <w:sz w:val="20"/>
          <w:szCs w:val="20"/>
        </w:rPr>
        <w:t>n, literacy and health literacy…</w:t>
      </w:r>
    </w:p>
    <w:p w:rsidR="00442540" w:rsidRDefault="00442540" w:rsidP="00AA6F7D">
      <w:pPr>
        <w:pStyle w:val="Header"/>
        <w:rPr>
          <w:sz w:val="13"/>
          <w:szCs w:val="13"/>
        </w:rPr>
      </w:pPr>
      <w:r>
        <w:rPr>
          <w:sz w:val="20"/>
          <w:szCs w:val="20"/>
        </w:rPr>
        <w:t>Perhaps the most c</w:t>
      </w:r>
      <w:r w:rsidRPr="001D500D">
        <w:rPr>
          <w:sz w:val="20"/>
          <w:szCs w:val="20"/>
          <w:highlight w:val="yellow"/>
        </w:rPr>
        <w:t>ompelling</w:t>
      </w:r>
      <w:r>
        <w:rPr>
          <w:sz w:val="20"/>
          <w:szCs w:val="20"/>
        </w:rPr>
        <w:t xml:space="preserve"> </w:t>
      </w:r>
      <w:r w:rsidRPr="001D500D">
        <w:rPr>
          <w:sz w:val="20"/>
          <w:szCs w:val="20"/>
          <w:highlight w:val="yellow"/>
        </w:rPr>
        <w:t>evidence</w:t>
      </w:r>
      <w:r>
        <w:rPr>
          <w:sz w:val="20"/>
          <w:szCs w:val="20"/>
        </w:rPr>
        <w:t xml:space="preserve"> for the </w:t>
      </w:r>
      <w:r w:rsidRPr="001D500D">
        <w:rPr>
          <w:sz w:val="20"/>
          <w:szCs w:val="20"/>
          <w:highlight w:val="yellow"/>
        </w:rPr>
        <w:t>significantly poorer health and development of some children</w:t>
      </w:r>
      <w:r>
        <w:rPr>
          <w:sz w:val="20"/>
          <w:szCs w:val="20"/>
        </w:rPr>
        <w:t xml:space="preserve"> comes from the </w:t>
      </w:r>
      <w:r w:rsidRPr="001D500D">
        <w:rPr>
          <w:sz w:val="20"/>
          <w:szCs w:val="20"/>
          <w:highlight w:val="yellow"/>
        </w:rPr>
        <w:t>Australian Early Development Index (AEDI)</w:t>
      </w:r>
      <w:r>
        <w:rPr>
          <w:sz w:val="20"/>
          <w:szCs w:val="20"/>
        </w:rPr>
        <w:t xml:space="preserve">. This index </w:t>
      </w:r>
      <w:r w:rsidRPr="001D500D">
        <w:rPr>
          <w:sz w:val="20"/>
          <w:szCs w:val="20"/>
          <w:highlight w:val="yellow"/>
        </w:rPr>
        <w:t>measures five domains of early</w:t>
      </w:r>
      <w:r>
        <w:rPr>
          <w:sz w:val="20"/>
          <w:szCs w:val="20"/>
        </w:rPr>
        <w:t xml:space="preserve"> </w:t>
      </w:r>
      <w:r w:rsidRPr="001D500D">
        <w:rPr>
          <w:sz w:val="20"/>
          <w:szCs w:val="20"/>
          <w:highlight w:val="yellow"/>
        </w:rPr>
        <w:t>childhood development</w:t>
      </w:r>
      <w:r>
        <w:rPr>
          <w:sz w:val="20"/>
          <w:szCs w:val="20"/>
        </w:rPr>
        <w:t>, including “</w:t>
      </w:r>
      <w:r w:rsidRPr="001D500D">
        <w:rPr>
          <w:sz w:val="20"/>
          <w:szCs w:val="20"/>
          <w:highlight w:val="yellow"/>
        </w:rPr>
        <w:t>physical health and wellbeing”</w:t>
      </w:r>
      <w:r>
        <w:rPr>
          <w:sz w:val="20"/>
          <w:szCs w:val="20"/>
        </w:rPr>
        <w:t>.</w:t>
      </w:r>
      <w:r>
        <w:rPr>
          <w:sz w:val="13"/>
          <w:szCs w:val="13"/>
        </w:rPr>
        <w:t>4</w:t>
      </w:r>
      <w:r w:rsidR="0089366E" w:rsidRPr="0089366E">
        <w:rPr>
          <w:sz w:val="20"/>
          <w:szCs w:val="20"/>
        </w:rPr>
        <w:t xml:space="preserve"> </w:t>
      </w:r>
      <w:r w:rsidR="0089366E">
        <w:rPr>
          <w:sz w:val="20"/>
          <w:szCs w:val="20"/>
        </w:rPr>
        <w:t xml:space="preserve">The AEDI was completed nationally for the first time in 2009, when data was collected from </w:t>
      </w:r>
      <w:r w:rsidR="0089366E" w:rsidRPr="001D500D">
        <w:rPr>
          <w:sz w:val="20"/>
          <w:szCs w:val="20"/>
          <w:highlight w:val="yellow"/>
        </w:rPr>
        <w:t>97.5% of the five-year-old population in Australia</w:t>
      </w:r>
      <w:r w:rsidR="0089366E">
        <w:rPr>
          <w:sz w:val="20"/>
          <w:szCs w:val="20"/>
        </w:rPr>
        <w:t xml:space="preserve"> (over 260,000 children). The data highlights that </w:t>
      </w:r>
      <w:r w:rsidR="0089366E" w:rsidRPr="001D500D">
        <w:rPr>
          <w:sz w:val="20"/>
          <w:szCs w:val="20"/>
          <w:highlight w:val="yellow"/>
        </w:rPr>
        <w:t>“there are higher proportions of children living in the most socio-economically disadvantaged communities and in very remote areas of Australia who are developmentally vulnerable on each of the AEDI domains”</w:t>
      </w:r>
      <w:r w:rsidR="0089366E">
        <w:rPr>
          <w:sz w:val="20"/>
          <w:szCs w:val="20"/>
        </w:rPr>
        <w:t xml:space="preserve"> (AEDI, 2009, </w:t>
      </w:r>
      <w:proofErr w:type="spellStart"/>
      <w:r w:rsidR="0089366E">
        <w:rPr>
          <w:sz w:val="20"/>
          <w:szCs w:val="20"/>
        </w:rPr>
        <w:t>p.iv</w:t>
      </w:r>
      <w:proofErr w:type="spellEnd"/>
      <w:r w:rsidR="0089366E">
        <w:rPr>
          <w:sz w:val="20"/>
          <w:szCs w:val="20"/>
        </w:rPr>
        <w:t>).</w:t>
      </w:r>
    </w:p>
    <w:p w:rsidR="00442540" w:rsidRPr="003A4103" w:rsidRDefault="00442540" w:rsidP="00AA6F7D">
      <w:pPr>
        <w:pStyle w:val="Header"/>
        <w:rPr>
          <w:b/>
          <w:bCs/>
          <w:sz w:val="32"/>
          <w:szCs w:val="32"/>
          <w:u w:val="single"/>
        </w:rPr>
      </w:pPr>
    </w:p>
    <w:p w:rsidR="004E01C5" w:rsidRPr="004E01C5" w:rsidRDefault="00AA6F7D" w:rsidP="00AA6F7D">
      <w:pPr>
        <w:pStyle w:val="Header"/>
        <w:rPr>
          <w:b/>
          <w:u w:val="single"/>
          <w:lang w:val="en-US"/>
        </w:rPr>
      </w:pPr>
      <w:r>
        <w:rPr>
          <w:b/>
          <w:bCs/>
          <w:sz w:val="32"/>
          <w:szCs w:val="32"/>
          <w:u w:val="single"/>
        </w:rPr>
        <w:t xml:space="preserve">Part 3: </w:t>
      </w:r>
      <w:r w:rsidR="004E01C5" w:rsidRPr="004E01C5">
        <w:rPr>
          <w:b/>
          <w:bCs/>
          <w:sz w:val="32"/>
          <w:szCs w:val="32"/>
          <w:u w:val="single"/>
        </w:rPr>
        <w:t>Key health and nutrition issues – children and young people</w:t>
      </w:r>
    </w:p>
    <w:p w:rsidR="004E01C5" w:rsidRDefault="004E01C5" w:rsidP="004B0A30">
      <w:pPr>
        <w:rPr>
          <w:sz w:val="28"/>
          <w:szCs w:val="28"/>
          <w:u w:val="single"/>
        </w:rPr>
      </w:pPr>
    </w:p>
    <w:p w:rsidR="004B0A30" w:rsidRPr="004B0A30" w:rsidRDefault="004B0A30" w:rsidP="004B0A30">
      <w:pPr>
        <w:rPr>
          <w:sz w:val="20"/>
          <w:szCs w:val="20"/>
          <w:u w:val="single"/>
        </w:rPr>
      </w:pPr>
      <w:r w:rsidRPr="005E4E29">
        <w:rPr>
          <w:sz w:val="28"/>
          <w:szCs w:val="28"/>
          <w:highlight w:val="yellow"/>
          <w:u w:val="single"/>
        </w:rPr>
        <w:t>Overweight and obesity</w:t>
      </w:r>
    </w:p>
    <w:p w:rsidR="004B0A30" w:rsidRDefault="004B0A30" w:rsidP="004B0A30">
      <w:pPr>
        <w:rPr>
          <w:sz w:val="20"/>
          <w:szCs w:val="20"/>
        </w:rPr>
      </w:pPr>
      <w:r>
        <w:rPr>
          <w:sz w:val="20"/>
          <w:szCs w:val="20"/>
        </w:rPr>
        <w:t>The Longitudinal Study of Australian Children 2008–09 recorded…</w:t>
      </w:r>
      <w:r w:rsidRPr="005E4E29">
        <w:rPr>
          <w:sz w:val="20"/>
          <w:szCs w:val="20"/>
          <w:highlight w:val="yellow"/>
        </w:rPr>
        <w:t>rates of overweight and obesity among children: 23% of 4–5 year olds and 24% of 8–9 year olds</w:t>
      </w:r>
      <w:r>
        <w:rPr>
          <w:sz w:val="20"/>
          <w:szCs w:val="20"/>
        </w:rPr>
        <w:t xml:space="preserve"> (Australian Institute of Family Studies, 2009). A smaller national study of almost 8000 young people found that 8</w:t>
      </w:r>
      <w:r w:rsidRPr="005E4E29">
        <w:rPr>
          <w:sz w:val="20"/>
          <w:szCs w:val="20"/>
          <w:highlight w:val="yellow"/>
        </w:rPr>
        <w:t>.6% of Indigenous children (6–11 years) were obese and 16% were overweight</w:t>
      </w:r>
      <w:r>
        <w:rPr>
          <w:sz w:val="20"/>
          <w:szCs w:val="20"/>
        </w:rPr>
        <w:t xml:space="preserve"> (</w:t>
      </w:r>
      <w:proofErr w:type="spellStart"/>
      <w:r>
        <w:rPr>
          <w:sz w:val="20"/>
          <w:szCs w:val="20"/>
        </w:rPr>
        <w:t>O‟Dea</w:t>
      </w:r>
      <w:proofErr w:type="spellEnd"/>
      <w:r>
        <w:rPr>
          <w:sz w:val="20"/>
          <w:szCs w:val="20"/>
        </w:rPr>
        <w:t>, 2006).</w:t>
      </w:r>
    </w:p>
    <w:p w:rsidR="004B0A30" w:rsidRDefault="004B0A30" w:rsidP="004B0A30">
      <w:pPr>
        <w:rPr>
          <w:sz w:val="20"/>
          <w:szCs w:val="20"/>
        </w:rPr>
      </w:pPr>
      <w:r>
        <w:rPr>
          <w:sz w:val="20"/>
          <w:szCs w:val="20"/>
        </w:rPr>
        <w:t xml:space="preserve">Overweight and obesity have </w:t>
      </w:r>
      <w:r w:rsidRPr="005E4E29">
        <w:rPr>
          <w:sz w:val="20"/>
          <w:szCs w:val="20"/>
          <w:highlight w:val="yellow"/>
        </w:rPr>
        <w:t>serious health implications for children, including an increased risk of developing asthma and Type 2 diabetes.</w:t>
      </w:r>
      <w:r>
        <w:rPr>
          <w:sz w:val="20"/>
          <w:szCs w:val="20"/>
        </w:rPr>
        <w:t xml:space="preserve"> In addition, overweight and obese children may be </w:t>
      </w:r>
      <w:r w:rsidRPr="005E4E29">
        <w:rPr>
          <w:sz w:val="20"/>
          <w:szCs w:val="20"/>
          <w:highlight w:val="yellow"/>
        </w:rPr>
        <w:t>susceptible to bullying and “victimisation”, leading to negative peer interactions and experiences  of school</w:t>
      </w:r>
      <w:r>
        <w:rPr>
          <w:sz w:val="20"/>
          <w:szCs w:val="20"/>
        </w:rPr>
        <w:t xml:space="preserve"> (Australian Institute of Health and Welfare, 2009, p.75), all of which can </w:t>
      </w:r>
      <w:r w:rsidRPr="005E4E29">
        <w:rPr>
          <w:sz w:val="20"/>
          <w:szCs w:val="20"/>
          <w:highlight w:val="yellow"/>
        </w:rPr>
        <w:t>detrimentally affect mental health and learning</w:t>
      </w:r>
      <w:r>
        <w:rPr>
          <w:sz w:val="20"/>
          <w:szCs w:val="20"/>
        </w:rPr>
        <w:t>.</w:t>
      </w:r>
    </w:p>
    <w:p w:rsidR="004B0A30" w:rsidRDefault="004B0A30" w:rsidP="004B0A30">
      <w:pPr>
        <w:rPr>
          <w:sz w:val="20"/>
          <w:szCs w:val="20"/>
        </w:rPr>
      </w:pPr>
      <w:r>
        <w:rPr>
          <w:sz w:val="20"/>
          <w:szCs w:val="20"/>
        </w:rPr>
        <w:lastRenderedPageBreak/>
        <w:t xml:space="preserve">The Australian National </w:t>
      </w:r>
      <w:proofErr w:type="spellStart"/>
      <w:r>
        <w:rPr>
          <w:sz w:val="20"/>
          <w:szCs w:val="20"/>
        </w:rPr>
        <w:t>Children‟s</w:t>
      </w:r>
      <w:proofErr w:type="spellEnd"/>
      <w:r>
        <w:rPr>
          <w:sz w:val="20"/>
          <w:szCs w:val="20"/>
        </w:rPr>
        <w:t xml:space="preserve"> Nutrition and Physical Activity Survey found that the </w:t>
      </w:r>
      <w:r w:rsidRPr="005E4E29">
        <w:rPr>
          <w:sz w:val="20"/>
          <w:szCs w:val="20"/>
          <w:highlight w:val="yellow"/>
        </w:rPr>
        <w:t>highest level of non-observance of dietary guidelines was in the following categories “vegetables, saturated fat and sugar for all age groups as well as fruit and dairy intake for those 9 years and 18  and over”</w:t>
      </w:r>
      <w:r>
        <w:rPr>
          <w:sz w:val="20"/>
          <w:szCs w:val="20"/>
        </w:rPr>
        <w:t>. Only 1–2% of older children “appeared to consume 3 serves of fruit if juice was not included” and “about one quarter of children in the younger age groups and 1–11% of the older age groups met the guideline for vegetable intake” (Australian Government Department of Health and Ageing, 2008a, pp.2; 24).</w:t>
      </w:r>
    </w:p>
    <w:p w:rsidR="004B0A30" w:rsidRDefault="004B0A30" w:rsidP="004B0A30">
      <w:pPr>
        <w:rPr>
          <w:sz w:val="20"/>
          <w:szCs w:val="20"/>
        </w:rPr>
      </w:pPr>
      <w:r>
        <w:rPr>
          <w:sz w:val="20"/>
          <w:szCs w:val="20"/>
        </w:rPr>
        <w:t xml:space="preserve">For young children in particular, the </w:t>
      </w:r>
      <w:r w:rsidRPr="005E4E29">
        <w:rPr>
          <w:sz w:val="20"/>
          <w:szCs w:val="20"/>
          <w:highlight w:val="yellow"/>
        </w:rPr>
        <w:t>family is one of the biggest influences on their “food preferences and intake patterns”</w:t>
      </w:r>
      <w:r>
        <w:rPr>
          <w:sz w:val="20"/>
          <w:szCs w:val="20"/>
        </w:rPr>
        <w:t xml:space="preserve"> (</w:t>
      </w:r>
      <w:proofErr w:type="spellStart"/>
      <w:r>
        <w:rPr>
          <w:sz w:val="20"/>
          <w:szCs w:val="20"/>
        </w:rPr>
        <w:t>Vereecken</w:t>
      </w:r>
      <w:proofErr w:type="spellEnd"/>
      <w:r>
        <w:rPr>
          <w:sz w:val="20"/>
          <w:szCs w:val="20"/>
        </w:rPr>
        <w:t xml:space="preserve">, </w:t>
      </w:r>
      <w:proofErr w:type="spellStart"/>
      <w:r>
        <w:rPr>
          <w:sz w:val="20"/>
          <w:szCs w:val="20"/>
        </w:rPr>
        <w:t>Keukelier</w:t>
      </w:r>
      <w:proofErr w:type="spellEnd"/>
      <w:r>
        <w:rPr>
          <w:sz w:val="20"/>
          <w:szCs w:val="20"/>
        </w:rPr>
        <w:t xml:space="preserve"> and </w:t>
      </w:r>
      <w:proofErr w:type="spellStart"/>
      <w:r>
        <w:rPr>
          <w:sz w:val="20"/>
          <w:szCs w:val="20"/>
        </w:rPr>
        <w:t>Maes</w:t>
      </w:r>
      <w:proofErr w:type="spellEnd"/>
      <w:r>
        <w:rPr>
          <w:sz w:val="20"/>
          <w:szCs w:val="20"/>
        </w:rPr>
        <w:t xml:space="preserve">, 2004, p.93). This influence is exerted in several ways. In particular, the </w:t>
      </w:r>
      <w:r w:rsidRPr="005E4E29">
        <w:rPr>
          <w:sz w:val="20"/>
          <w:szCs w:val="20"/>
          <w:highlight w:val="yellow"/>
        </w:rPr>
        <w:t>decisions made by parents determine the food that is available for children</w:t>
      </w:r>
      <w:r>
        <w:rPr>
          <w:sz w:val="20"/>
          <w:szCs w:val="20"/>
        </w:rPr>
        <w:t xml:space="preserve">. Parents play three important food roles: they are </w:t>
      </w:r>
      <w:r w:rsidRPr="005E4E29">
        <w:rPr>
          <w:sz w:val="20"/>
          <w:szCs w:val="20"/>
          <w:highlight w:val="yellow"/>
        </w:rPr>
        <w:t>“role models” of consumption, “providers of food”, and they control the eating environment</w:t>
      </w:r>
      <w:r>
        <w:rPr>
          <w:sz w:val="20"/>
          <w:szCs w:val="20"/>
        </w:rPr>
        <w:t xml:space="preserve"> (Pettigrew, 2009, p.149; </w:t>
      </w:r>
      <w:proofErr w:type="spellStart"/>
      <w:r>
        <w:rPr>
          <w:sz w:val="20"/>
          <w:szCs w:val="20"/>
        </w:rPr>
        <w:t>Vereecken</w:t>
      </w:r>
      <w:proofErr w:type="spellEnd"/>
      <w:r>
        <w:rPr>
          <w:sz w:val="20"/>
          <w:szCs w:val="20"/>
        </w:rPr>
        <w:t xml:space="preserve">, </w:t>
      </w:r>
      <w:proofErr w:type="spellStart"/>
      <w:r>
        <w:rPr>
          <w:sz w:val="20"/>
          <w:szCs w:val="20"/>
        </w:rPr>
        <w:t>Keukelier</w:t>
      </w:r>
      <w:proofErr w:type="spellEnd"/>
      <w:r>
        <w:rPr>
          <w:sz w:val="20"/>
          <w:szCs w:val="20"/>
        </w:rPr>
        <w:t xml:space="preserve"> and </w:t>
      </w:r>
      <w:proofErr w:type="spellStart"/>
      <w:r>
        <w:rPr>
          <w:sz w:val="20"/>
          <w:szCs w:val="20"/>
        </w:rPr>
        <w:t>Maes</w:t>
      </w:r>
      <w:proofErr w:type="spellEnd"/>
      <w:r>
        <w:rPr>
          <w:sz w:val="20"/>
          <w:szCs w:val="20"/>
        </w:rPr>
        <w:t xml:space="preserve">, 2004). Parents also </w:t>
      </w:r>
      <w:r w:rsidRPr="005E4E29">
        <w:rPr>
          <w:sz w:val="20"/>
          <w:szCs w:val="20"/>
          <w:highlight w:val="yellow"/>
        </w:rPr>
        <w:t>model decisions about food</w:t>
      </w:r>
      <w:r>
        <w:rPr>
          <w:sz w:val="20"/>
          <w:szCs w:val="20"/>
        </w:rPr>
        <w:t xml:space="preserve"> to their children through choices made at the supermarket, including the extent to which they use food nutrition labels or purchase products out of habit.</w:t>
      </w:r>
    </w:p>
    <w:p w:rsidR="004B0A30" w:rsidRDefault="004B0A30" w:rsidP="004B0A30">
      <w:pPr>
        <w:rPr>
          <w:sz w:val="20"/>
          <w:szCs w:val="20"/>
        </w:rPr>
      </w:pPr>
      <w:r w:rsidRPr="005E4E29">
        <w:rPr>
          <w:sz w:val="20"/>
          <w:szCs w:val="20"/>
          <w:highlight w:val="yellow"/>
        </w:rPr>
        <w:t>Parents must: believe that fruit, juice and vegetable consumption is positively linked to their child</w:t>
      </w:r>
      <w:r w:rsidRPr="005E4E29">
        <w:rPr>
          <w:sz w:val="20"/>
          <w:szCs w:val="20"/>
          <w:highlight w:val="yellow"/>
        </w:rPr>
        <w:t>’</w:t>
      </w:r>
      <w:r w:rsidRPr="005E4E29">
        <w:rPr>
          <w:sz w:val="20"/>
          <w:szCs w:val="20"/>
          <w:highlight w:val="yellow"/>
        </w:rPr>
        <w:t>s development, and possess the “knowledge, skills and self-efficacy” to purchase, prepare and encourage their children to eat fruit, juice and vegetables</w:t>
      </w:r>
      <w:r>
        <w:rPr>
          <w:sz w:val="20"/>
          <w:szCs w:val="20"/>
        </w:rPr>
        <w:t xml:space="preserve"> (Cullen et al., 2000, p.347).</w:t>
      </w:r>
      <w:r w:rsidRPr="00ED3521">
        <w:rPr>
          <w:sz w:val="20"/>
          <w:szCs w:val="20"/>
        </w:rPr>
        <w:t xml:space="preserve"> </w:t>
      </w:r>
      <w:r>
        <w:rPr>
          <w:sz w:val="20"/>
          <w:szCs w:val="20"/>
        </w:rPr>
        <w:t xml:space="preserve">In relation to the purchase of food, one of the skills parents need is </w:t>
      </w:r>
      <w:r w:rsidRPr="005E4E29">
        <w:rPr>
          <w:sz w:val="20"/>
          <w:szCs w:val="20"/>
          <w:highlight w:val="yellow"/>
        </w:rPr>
        <w:t xml:space="preserve">the </w:t>
      </w:r>
      <w:r w:rsidRPr="005E4E29">
        <w:rPr>
          <w:b/>
          <w:sz w:val="20"/>
          <w:szCs w:val="20"/>
          <w:highlight w:val="yellow"/>
          <w:u w:val="single"/>
        </w:rPr>
        <w:t>ability to comprehend the nutritional information on food labels</w:t>
      </w:r>
      <w:r>
        <w:rPr>
          <w:sz w:val="20"/>
          <w:szCs w:val="20"/>
        </w:rPr>
        <w:t xml:space="preserve">. This has two benefits: firstly, </w:t>
      </w:r>
      <w:r w:rsidRPr="005E4E29">
        <w:rPr>
          <w:sz w:val="20"/>
          <w:szCs w:val="20"/>
          <w:highlight w:val="yellow"/>
        </w:rPr>
        <w:t>consumer use of food labels is associated with making healthy food choices</w:t>
      </w:r>
      <w:r>
        <w:rPr>
          <w:sz w:val="20"/>
          <w:szCs w:val="20"/>
        </w:rPr>
        <w:t xml:space="preserve"> (Barreiro-</w:t>
      </w:r>
      <w:proofErr w:type="spellStart"/>
      <w:r>
        <w:rPr>
          <w:sz w:val="20"/>
          <w:szCs w:val="20"/>
        </w:rPr>
        <w:t>Hurle</w:t>
      </w:r>
      <w:proofErr w:type="spellEnd"/>
      <w:r>
        <w:rPr>
          <w:sz w:val="20"/>
          <w:szCs w:val="20"/>
        </w:rPr>
        <w:t xml:space="preserve">, </w:t>
      </w:r>
      <w:proofErr w:type="spellStart"/>
      <w:r>
        <w:rPr>
          <w:sz w:val="20"/>
          <w:szCs w:val="20"/>
        </w:rPr>
        <w:t>Gracia</w:t>
      </w:r>
      <w:proofErr w:type="spellEnd"/>
      <w:r>
        <w:rPr>
          <w:sz w:val="20"/>
          <w:szCs w:val="20"/>
        </w:rPr>
        <w:t xml:space="preserve"> and de-</w:t>
      </w:r>
      <w:proofErr w:type="spellStart"/>
      <w:r>
        <w:rPr>
          <w:sz w:val="20"/>
          <w:szCs w:val="20"/>
        </w:rPr>
        <w:t>Magistris</w:t>
      </w:r>
      <w:proofErr w:type="spellEnd"/>
      <w:r>
        <w:rPr>
          <w:sz w:val="20"/>
          <w:szCs w:val="20"/>
        </w:rPr>
        <w:t>, 2010). Secondly, this m</w:t>
      </w:r>
      <w:r w:rsidRPr="005E4E29">
        <w:rPr>
          <w:sz w:val="20"/>
          <w:szCs w:val="20"/>
          <w:highlight w:val="yellow"/>
        </w:rPr>
        <w:t>odels good practice to offspring and leads to healthier food intake</w:t>
      </w:r>
      <w:r>
        <w:rPr>
          <w:sz w:val="20"/>
          <w:szCs w:val="20"/>
        </w:rPr>
        <w:t>. However, the use of food labels is also linked to an individual</w:t>
      </w:r>
      <w:r>
        <w:rPr>
          <w:sz w:val="20"/>
          <w:szCs w:val="20"/>
        </w:rPr>
        <w:t>’</w:t>
      </w:r>
      <w:r>
        <w:rPr>
          <w:sz w:val="20"/>
          <w:szCs w:val="20"/>
        </w:rPr>
        <w:t>s nutrition knowledge and level of motivation (</w:t>
      </w:r>
      <w:proofErr w:type="spellStart"/>
      <w:r>
        <w:rPr>
          <w:sz w:val="20"/>
          <w:szCs w:val="20"/>
        </w:rPr>
        <w:t>Soederberg</w:t>
      </w:r>
      <w:proofErr w:type="spellEnd"/>
      <w:r>
        <w:rPr>
          <w:sz w:val="20"/>
          <w:szCs w:val="20"/>
        </w:rPr>
        <w:t xml:space="preserve"> Miller, Gibson and Applegate, 2010).</w:t>
      </w:r>
      <w:r>
        <w:rPr>
          <w:sz w:val="20"/>
          <w:szCs w:val="20"/>
        </w:rPr>
        <w:t>\</w:t>
      </w:r>
    </w:p>
    <w:p w:rsidR="004B0A30" w:rsidRDefault="004B0A30" w:rsidP="004B0A30">
      <w:pPr>
        <w:pStyle w:val="Default"/>
        <w:rPr>
          <w:rFonts w:ascii="Calibri" w:eastAsia="Calibri" w:hAnsi="Calibri" w:cs="Times New Roman"/>
          <w:color w:val="auto"/>
          <w:sz w:val="20"/>
          <w:szCs w:val="20"/>
        </w:rPr>
      </w:pPr>
      <w:r w:rsidRPr="004B0A30">
        <w:rPr>
          <w:rFonts w:ascii="Calibri" w:eastAsia="Calibri" w:hAnsi="Calibri" w:cs="Times New Roman"/>
          <w:color w:val="auto"/>
          <w:sz w:val="20"/>
          <w:szCs w:val="20"/>
        </w:rPr>
        <w:t>Parental modelling of positive food choices is also shaped by socio-economic factors, including the mother</w:t>
      </w:r>
      <w:r w:rsidRPr="004B0A30">
        <w:rPr>
          <w:rFonts w:ascii="Calibri" w:eastAsia="Calibri" w:hAnsi="Calibri" w:cs="Times New Roman"/>
          <w:color w:val="auto"/>
          <w:sz w:val="20"/>
          <w:szCs w:val="20"/>
        </w:rPr>
        <w:t>’</w:t>
      </w:r>
      <w:r w:rsidRPr="004B0A30">
        <w:rPr>
          <w:rFonts w:ascii="Calibri" w:eastAsia="Calibri" w:hAnsi="Calibri" w:cs="Times New Roman"/>
          <w:color w:val="auto"/>
          <w:sz w:val="20"/>
          <w:szCs w:val="20"/>
        </w:rPr>
        <w:t>s level of education.</w:t>
      </w:r>
      <w:r w:rsidRPr="004B0A30">
        <w:rPr>
          <w:rFonts w:ascii="Calibri" w:eastAsia="Calibri" w:hAnsi="Calibri" w:cs="Times New Roman"/>
          <w:color w:val="auto"/>
          <w:sz w:val="20"/>
          <w:szCs w:val="20"/>
        </w:rPr>
        <w:t xml:space="preserve"> </w:t>
      </w:r>
      <w:r w:rsidRPr="005E4E29">
        <w:rPr>
          <w:rFonts w:ascii="Calibri" w:eastAsia="Calibri" w:hAnsi="Calibri" w:cs="Times New Roman"/>
          <w:color w:val="auto"/>
          <w:sz w:val="20"/>
          <w:szCs w:val="20"/>
          <w:highlight w:val="yellow"/>
        </w:rPr>
        <w:t>Providing</w:t>
      </w:r>
      <w:r w:rsidRPr="005E4E29">
        <w:rPr>
          <w:rFonts w:ascii="Calibri" w:eastAsia="Calibri" w:hAnsi="Calibri" w:cs="Times New Roman"/>
          <w:color w:val="auto"/>
          <w:sz w:val="20"/>
          <w:szCs w:val="20"/>
          <w:highlight w:val="yellow"/>
        </w:rPr>
        <w:t xml:space="preserve"> nutrition education and information to young mothers can lead to improvements in the food intake of their children (</w:t>
      </w:r>
      <w:proofErr w:type="spellStart"/>
      <w:r w:rsidRPr="005E4E29">
        <w:rPr>
          <w:rFonts w:ascii="Calibri" w:eastAsia="Calibri" w:hAnsi="Calibri" w:cs="Times New Roman"/>
          <w:color w:val="auto"/>
          <w:sz w:val="20"/>
          <w:szCs w:val="20"/>
          <w:highlight w:val="yellow"/>
        </w:rPr>
        <w:t>Vereecken</w:t>
      </w:r>
      <w:proofErr w:type="spellEnd"/>
      <w:r w:rsidRPr="005E4E29">
        <w:rPr>
          <w:rFonts w:ascii="Calibri" w:eastAsia="Calibri" w:hAnsi="Calibri" w:cs="Times New Roman"/>
          <w:color w:val="auto"/>
          <w:sz w:val="20"/>
          <w:szCs w:val="20"/>
          <w:highlight w:val="yellow"/>
        </w:rPr>
        <w:t xml:space="preserve"> and </w:t>
      </w:r>
      <w:proofErr w:type="spellStart"/>
      <w:r w:rsidRPr="005E4E29">
        <w:rPr>
          <w:rFonts w:ascii="Calibri" w:eastAsia="Calibri" w:hAnsi="Calibri" w:cs="Times New Roman"/>
          <w:color w:val="auto"/>
          <w:sz w:val="20"/>
          <w:szCs w:val="20"/>
          <w:highlight w:val="yellow"/>
        </w:rPr>
        <w:t>Maes</w:t>
      </w:r>
      <w:proofErr w:type="spellEnd"/>
      <w:r w:rsidRPr="005E4E29">
        <w:rPr>
          <w:rFonts w:ascii="Calibri" w:eastAsia="Calibri" w:hAnsi="Calibri" w:cs="Times New Roman"/>
          <w:color w:val="auto"/>
          <w:sz w:val="20"/>
          <w:szCs w:val="20"/>
          <w:highlight w:val="yellow"/>
        </w:rPr>
        <w:t>, 2010, pp.44; 50).</w:t>
      </w:r>
      <w:r w:rsidRPr="004B0A30">
        <w:rPr>
          <w:rFonts w:ascii="Calibri" w:eastAsia="Calibri" w:hAnsi="Calibri" w:cs="Times New Roman"/>
          <w:color w:val="auto"/>
          <w:sz w:val="20"/>
          <w:szCs w:val="20"/>
        </w:rPr>
        <w:t xml:space="preserve"> Given that a </w:t>
      </w:r>
      <w:r w:rsidRPr="004B0A30">
        <w:rPr>
          <w:rFonts w:ascii="Calibri" w:eastAsia="Calibri" w:hAnsi="Calibri" w:cs="Times New Roman"/>
          <w:color w:val="auto"/>
          <w:sz w:val="20"/>
          <w:szCs w:val="20"/>
        </w:rPr>
        <w:t>mother’s</w:t>
      </w:r>
      <w:r w:rsidRPr="004B0A30">
        <w:rPr>
          <w:rFonts w:ascii="Calibri" w:eastAsia="Calibri" w:hAnsi="Calibri" w:cs="Times New Roman"/>
          <w:color w:val="auto"/>
          <w:sz w:val="20"/>
          <w:szCs w:val="20"/>
        </w:rPr>
        <w:t xml:space="preserve"> food intake appears to exert a strong influence on the development of her young </w:t>
      </w:r>
      <w:r w:rsidRPr="004B0A30">
        <w:rPr>
          <w:rFonts w:ascii="Calibri" w:eastAsia="Calibri" w:hAnsi="Calibri" w:cs="Times New Roman"/>
          <w:color w:val="auto"/>
          <w:sz w:val="20"/>
          <w:szCs w:val="20"/>
        </w:rPr>
        <w:t>children’s</w:t>
      </w:r>
      <w:r w:rsidRPr="004B0A30">
        <w:rPr>
          <w:rFonts w:ascii="Calibri" w:eastAsia="Calibri" w:hAnsi="Calibri" w:cs="Times New Roman"/>
          <w:color w:val="auto"/>
          <w:sz w:val="20"/>
          <w:szCs w:val="20"/>
        </w:rPr>
        <w:t xml:space="preserve"> healthy eating habits, it is vital to equip parents with the skills to help them become better models of healthy eating (</w:t>
      </w:r>
      <w:proofErr w:type="spellStart"/>
      <w:r w:rsidRPr="004B0A30">
        <w:rPr>
          <w:rFonts w:ascii="Calibri" w:eastAsia="Calibri" w:hAnsi="Calibri" w:cs="Times New Roman"/>
          <w:color w:val="auto"/>
          <w:sz w:val="20"/>
          <w:szCs w:val="20"/>
        </w:rPr>
        <w:t>Vereecken</w:t>
      </w:r>
      <w:proofErr w:type="spellEnd"/>
      <w:r w:rsidRPr="004B0A30">
        <w:rPr>
          <w:rFonts w:ascii="Calibri" w:eastAsia="Calibri" w:hAnsi="Calibri" w:cs="Times New Roman"/>
          <w:color w:val="auto"/>
          <w:sz w:val="20"/>
          <w:szCs w:val="20"/>
        </w:rPr>
        <w:t xml:space="preserve">, </w:t>
      </w:r>
      <w:proofErr w:type="spellStart"/>
      <w:r w:rsidRPr="004B0A30">
        <w:rPr>
          <w:rFonts w:ascii="Calibri" w:eastAsia="Calibri" w:hAnsi="Calibri" w:cs="Times New Roman"/>
          <w:color w:val="auto"/>
          <w:sz w:val="20"/>
          <w:szCs w:val="20"/>
        </w:rPr>
        <w:t>Keukelier</w:t>
      </w:r>
      <w:proofErr w:type="spellEnd"/>
      <w:r w:rsidRPr="004B0A30">
        <w:rPr>
          <w:rFonts w:ascii="Calibri" w:eastAsia="Calibri" w:hAnsi="Calibri" w:cs="Times New Roman"/>
          <w:color w:val="auto"/>
          <w:sz w:val="20"/>
          <w:szCs w:val="20"/>
        </w:rPr>
        <w:t xml:space="preserve"> and </w:t>
      </w:r>
      <w:proofErr w:type="spellStart"/>
      <w:r w:rsidRPr="004B0A30">
        <w:rPr>
          <w:rFonts w:ascii="Calibri" w:eastAsia="Calibri" w:hAnsi="Calibri" w:cs="Times New Roman"/>
          <w:color w:val="auto"/>
          <w:sz w:val="20"/>
          <w:szCs w:val="20"/>
        </w:rPr>
        <w:t>Maes</w:t>
      </w:r>
      <w:proofErr w:type="spellEnd"/>
      <w:r w:rsidRPr="004B0A30">
        <w:rPr>
          <w:rFonts w:ascii="Calibri" w:eastAsia="Calibri" w:hAnsi="Calibri" w:cs="Times New Roman"/>
          <w:color w:val="auto"/>
          <w:sz w:val="20"/>
          <w:szCs w:val="20"/>
        </w:rPr>
        <w:t>, 2004).</w:t>
      </w:r>
    </w:p>
    <w:p w:rsidR="004B0A30" w:rsidRDefault="004B0A30" w:rsidP="004B0A30">
      <w:pPr>
        <w:pStyle w:val="Default"/>
        <w:rPr>
          <w:rFonts w:ascii="Calibri" w:eastAsia="Calibri" w:hAnsi="Calibri" w:cs="Times New Roman"/>
          <w:color w:val="auto"/>
          <w:sz w:val="20"/>
          <w:szCs w:val="20"/>
        </w:rPr>
      </w:pPr>
    </w:p>
    <w:p w:rsidR="004B0A30" w:rsidRDefault="004B0A30" w:rsidP="004B0A30">
      <w:pPr>
        <w:pStyle w:val="Default"/>
        <w:rPr>
          <w:rFonts w:ascii="Calibri" w:eastAsia="Calibri" w:hAnsi="Calibri" w:cs="Times New Roman"/>
          <w:color w:val="auto"/>
          <w:sz w:val="20"/>
          <w:szCs w:val="20"/>
        </w:rPr>
      </w:pPr>
      <w:r w:rsidRPr="004B0A30">
        <w:rPr>
          <w:rFonts w:ascii="Calibri" w:eastAsia="Calibri" w:hAnsi="Calibri" w:cs="Times New Roman"/>
          <w:color w:val="auto"/>
          <w:sz w:val="20"/>
          <w:szCs w:val="20"/>
        </w:rPr>
        <w:t>Despite consumer interest in nutrition information on food labels (</w:t>
      </w:r>
      <w:proofErr w:type="spellStart"/>
      <w:r w:rsidRPr="004B0A30">
        <w:rPr>
          <w:rFonts w:ascii="Calibri" w:eastAsia="Calibri" w:hAnsi="Calibri" w:cs="Times New Roman"/>
          <w:color w:val="auto"/>
          <w:sz w:val="20"/>
          <w:szCs w:val="20"/>
        </w:rPr>
        <w:t>Grunert</w:t>
      </w:r>
      <w:proofErr w:type="spellEnd"/>
      <w:r w:rsidRPr="004B0A30">
        <w:rPr>
          <w:rFonts w:ascii="Calibri" w:eastAsia="Calibri" w:hAnsi="Calibri" w:cs="Times New Roman"/>
          <w:color w:val="auto"/>
          <w:sz w:val="20"/>
          <w:szCs w:val="20"/>
        </w:rPr>
        <w:t xml:space="preserve"> and Wills, 2007), there are </w:t>
      </w:r>
      <w:r w:rsidRPr="005E4E29">
        <w:rPr>
          <w:rFonts w:ascii="Calibri" w:eastAsia="Calibri" w:hAnsi="Calibri" w:cs="Times New Roman"/>
          <w:color w:val="auto"/>
          <w:sz w:val="20"/>
          <w:szCs w:val="20"/>
          <w:highlight w:val="yellow"/>
        </w:rPr>
        <w:t>numerous obstacles to the use of nutritional labels, including lack of motivation as well as literacy barriers</w:t>
      </w:r>
      <w:r w:rsidRPr="004B0A30">
        <w:rPr>
          <w:rFonts w:ascii="Calibri" w:eastAsia="Calibri" w:hAnsi="Calibri" w:cs="Times New Roman"/>
          <w:color w:val="auto"/>
          <w:sz w:val="20"/>
          <w:szCs w:val="20"/>
        </w:rPr>
        <w:t xml:space="preserve"> (Sullivan, 2003).</w:t>
      </w:r>
      <w:r w:rsidRPr="004B0A30">
        <w:rPr>
          <w:rFonts w:ascii="Calibri" w:eastAsia="Calibri" w:hAnsi="Calibri" w:cs="Times New Roman"/>
          <w:color w:val="auto"/>
          <w:sz w:val="20"/>
          <w:szCs w:val="20"/>
        </w:rPr>
        <w:t xml:space="preserve"> Developing</w:t>
      </w:r>
      <w:r w:rsidRPr="004B0A30">
        <w:rPr>
          <w:rFonts w:ascii="Calibri" w:eastAsia="Calibri" w:hAnsi="Calibri" w:cs="Times New Roman"/>
          <w:color w:val="auto"/>
          <w:sz w:val="20"/>
          <w:szCs w:val="20"/>
        </w:rPr>
        <w:t xml:space="preserve"> parents</w:t>
      </w:r>
      <w:r>
        <w:rPr>
          <w:rFonts w:ascii="Calibri" w:eastAsia="Calibri" w:hAnsi="Calibri" w:cs="Times New Roman"/>
          <w:color w:val="auto"/>
          <w:sz w:val="20"/>
          <w:szCs w:val="20"/>
        </w:rPr>
        <w:t>’</w:t>
      </w:r>
      <w:r w:rsidRPr="004B0A30">
        <w:rPr>
          <w:rFonts w:ascii="Calibri" w:eastAsia="Calibri" w:hAnsi="Calibri" w:cs="Times New Roman"/>
          <w:color w:val="auto"/>
          <w:sz w:val="20"/>
          <w:szCs w:val="20"/>
        </w:rPr>
        <w:t xml:space="preserve"> interest in eating healthy food has the greatest potential to contribute to more prevalent use of nutrition information on food labels (</w:t>
      </w:r>
      <w:proofErr w:type="spellStart"/>
      <w:r w:rsidRPr="004B0A30">
        <w:rPr>
          <w:rFonts w:ascii="Calibri" w:eastAsia="Calibri" w:hAnsi="Calibri" w:cs="Times New Roman"/>
          <w:color w:val="auto"/>
          <w:sz w:val="20"/>
          <w:szCs w:val="20"/>
        </w:rPr>
        <w:t>Grunert</w:t>
      </w:r>
      <w:proofErr w:type="spellEnd"/>
      <w:r w:rsidRPr="004B0A30">
        <w:rPr>
          <w:rFonts w:ascii="Calibri" w:eastAsia="Calibri" w:hAnsi="Calibri" w:cs="Times New Roman"/>
          <w:color w:val="auto"/>
          <w:sz w:val="20"/>
          <w:szCs w:val="20"/>
        </w:rPr>
        <w:t>, Wills and Fernandez-</w:t>
      </w:r>
      <w:proofErr w:type="spellStart"/>
      <w:r w:rsidRPr="004B0A30">
        <w:rPr>
          <w:rFonts w:ascii="Calibri" w:eastAsia="Calibri" w:hAnsi="Calibri" w:cs="Times New Roman"/>
          <w:color w:val="auto"/>
          <w:sz w:val="20"/>
          <w:szCs w:val="20"/>
        </w:rPr>
        <w:t>Celemin</w:t>
      </w:r>
      <w:proofErr w:type="spellEnd"/>
      <w:r w:rsidRPr="004B0A30">
        <w:rPr>
          <w:rFonts w:ascii="Calibri" w:eastAsia="Calibri" w:hAnsi="Calibri" w:cs="Times New Roman"/>
          <w:color w:val="auto"/>
          <w:sz w:val="20"/>
          <w:szCs w:val="20"/>
        </w:rPr>
        <w:t>, 2010).</w:t>
      </w:r>
    </w:p>
    <w:p w:rsidR="004E01C5" w:rsidRDefault="004E01C5" w:rsidP="004B0A30">
      <w:pPr>
        <w:pStyle w:val="Default"/>
        <w:rPr>
          <w:rFonts w:ascii="Calibri" w:eastAsia="Calibri" w:hAnsi="Calibri" w:cs="Times New Roman"/>
          <w:color w:val="auto"/>
          <w:sz w:val="20"/>
          <w:szCs w:val="20"/>
        </w:rPr>
      </w:pPr>
    </w:p>
    <w:p w:rsidR="004E01C5" w:rsidRDefault="004E01C5" w:rsidP="004B0A30">
      <w:pPr>
        <w:pStyle w:val="Default"/>
        <w:rPr>
          <w:rFonts w:ascii="Calibri" w:eastAsia="Calibri" w:hAnsi="Calibri" w:cs="Times New Roman"/>
          <w:color w:val="auto"/>
          <w:sz w:val="20"/>
          <w:szCs w:val="20"/>
        </w:rPr>
      </w:pPr>
    </w:p>
    <w:p w:rsidR="004E01C5" w:rsidRPr="00AA6F7D" w:rsidRDefault="004E01C5" w:rsidP="00AA6F7D">
      <w:pPr>
        <w:rPr>
          <w:sz w:val="28"/>
          <w:szCs w:val="28"/>
          <w:u w:val="single"/>
        </w:rPr>
      </w:pPr>
      <w:r w:rsidRPr="00AA6F7D">
        <w:rPr>
          <w:sz w:val="28"/>
          <w:szCs w:val="28"/>
          <w:u w:val="single"/>
        </w:rPr>
        <w:t>Food insecurity</w:t>
      </w:r>
    </w:p>
    <w:p w:rsidR="004E01C5" w:rsidRPr="004E01C5" w:rsidRDefault="004E01C5" w:rsidP="004B0A30">
      <w:pPr>
        <w:pStyle w:val="Default"/>
        <w:rPr>
          <w:rFonts w:ascii="Calibri" w:eastAsia="Calibri" w:hAnsi="Calibri" w:cs="Times New Roman"/>
          <w:b/>
          <w:color w:val="auto"/>
          <w:sz w:val="20"/>
          <w:szCs w:val="20"/>
          <w:u w:val="single"/>
        </w:rPr>
      </w:pPr>
    </w:p>
    <w:p w:rsidR="004E01C5" w:rsidRPr="004E01C5" w:rsidRDefault="004E01C5" w:rsidP="004E01C5">
      <w:pPr>
        <w:pStyle w:val="ListParagraph"/>
        <w:numPr>
          <w:ilvl w:val="0"/>
          <w:numId w:val="1"/>
        </w:numPr>
        <w:rPr>
          <w:sz w:val="20"/>
          <w:szCs w:val="20"/>
        </w:rPr>
      </w:pPr>
      <w:r w:rsidRPr="001D500D">
        <w:rPr>
          <w:sz w:val="20"/>
          <w:szCs w:val="20"/>
          <w:highlight w:val="yellow"/>
        </w:rPr>
        <w:t>Food insecurity is “the limited or uncertain availability of nutritionally adequate and safe foods or limited or uncertain ability to acquire acceptable foods in socially acceptable ways” (</w:t>
      </w:r>
      <w:r w:rsidRPr="004E01C5">
        <w:rPr>
          <w:sz w:val="20"/>
          <w:szCs w:val="20"/>
        </w:rPr>
        <w:t xml:space="preserve">Kendall, as cited in Nolan, </w:t>
      </w:r>
      <w:proofErr w:type="spellStart"/>
      <w:r w:rsidRPr="004E01C5">
        <w:rPr>
          <w:sz w:val="20"/>
          <w:szCs w:val="20"/>
        </w:rPr>
        <w:t>Rikard</w:t>
      </w:r>
      <w:proofErr w:type="spellEnd"/>
      <w:r w:rsidRPr="004E01C5">
        <w:rPr>
          <w:sz w:val="20"/>
          <w:szCs w:val="20"/>
        </w:rPr>
        <w:t xml:space="preserve">-Bell, </w:t>
      </w:r>
      <w:proofErr w:type="spellStart"/>
      <w:r w:rsidRPr="004E01C5">
        <w:rPr>
          <w:sz w:val="20"/>
          <w:szCs w:val="20"/>
        </w:rPr>
        <w:t>Mohsin</w:t>
      </w:r>
      <w:proofErr w:type="spellEnd"/>
      <w:r w:rsidRPr="004E01C5">
        <w:rPr>
          <w:sz w:val="20"/>
          <w:szCs w:val="20"/>
        </w:rPr>
        <w:t xml:space="preserve"> and Williams, 2006, p.247). There are four categories of food insecurity “food secure”, “food insecure without hunger”, “food insecure with hunger” and “food insecure with severe hunger” (Temple, 2008, p.651).</w:t>
      </w:r>
      <w:r w:rsidRPr="004E01C5">
        <w:rPr>
          <w:sz w:val="20"/>
          <w:szCs w:val="20"/>
        </w:rPr>
        <w:t xml:space="preserve"> </w:t>
      </w:r>
    </w:p>
    <w:p w:rsidR="004E01C5" w:rsidRPr="004E01C5" w:rsidRDefault="004E01C5" w:rsidP="004E01C5">
      <w:pPr>
        <w:pStyle w:val="ListParagraph"/>
        <w:numPr>
          <w:ilvl w:val="0"/>
          <w:numId w:val="1"/>
        </w:numPr>
        <w:rPr>
          <w:sz w:val="20"/>
          <w:szCs w:val="20"/>
        </w:rPr>
      </w:pPr>
      <w:r w:rsidRPr="004E01C5">
        <w:rPr>
          <w:sz w:val="20"/>
          <w:szCs w:val="20"/>
        </w:rPr>
        <w:t>Factors</w:t>
      </w:r>
      <w:r w:rsidRPr="004E01C5">
        <w:rPr>
          <w:sz w:val="20"/>
          <w:szCs w:val="20"/>
        </w:rPr>
        <w:t xml:space="preserve"> influencing access to food, including: </w:t>
      </w:r>
      <w:r w:rsidRPr="005E4E29">
        <w:rPr>
          <w:sz w:val="20"/>
          <w:szCs w:val="20"/>
          <w:highlight w:val="yellow"/>
        </w:rPr>
        <w:t>transport, skills and knowledge, storage facilities, preparation and cooking facilities, time and mobility and social support”</w:t>
      </w:r>
      <w:r w:rsidRPr="004E01C5">
        <w:rPr>
          <w:sz w:val="20"/>
          <w:szCs w:val="20"/>
        </w:rPr>
        <w:t xml:space="preserve"> (Temple, 2008, p.662–663)</w:t>
      </w:r>
      <w:r w:rsidRPr="004E01C5">
        <w:rPr>
          <w:sz w:val="20"/>
          <w:szCs w:val="20"/>
        </w:rPr>
        <w:t xml:space="preserve"> </w:t>
      </w:r>
    </w:p>
    <w:p w:rsidR="0093798D" w:rsidRPr="004E01C5" w:rsidRDefault="004E01C5" w:rsidP="004E01C5">
      <w:pPr>
        <w:pStyle w:val="ListParagraph"/>
        <w:numPr>
          <w:ilvl w:val="0"/>
          <w:numId w:val="1"/>
        </w:numPr>
      </w:pPr>
      <w:r w:rsidRPr="004E01C5">
        <w:rPr>
          <w:sz w:val="20"/>
          <w:szCs w:val="20"/>
        </w:rPr>
        <w:t xml:space="preserve">The </w:t>
      </w:r>
      <w:r w:rsidRPr="004E01C5">
        <w:rPr>
          <w:sz w:val="20"/>
          <w:szCs w:val="20"/>
        </w:rPr>
        <w:t>“ability to access shops”, the cost of food and “having adequate time to shop, prepare and cook food independently predicted household food insecurity” (Nolan et al., 2006, p.252).</w:t>
      </w:r>
    </w:p>
    <w:p w:rsidR="004E01C5" w:rsidRPr="004E01C5" w:rsidRDefault="004E01C5" w:rsidP="004E01C5">
      <w:pPr>
        <w:pStyle w:val="ListParagraph"/>
        <w:numPr>
          <w:ilvl w:val="0"/>
          <w:numId w:val="1"/>
        </w:numPr>
      </w:pPr>
      <w:r w:rsidRPr="005E4E29">
        <w:rPr>
          <w:sz w:val="20"/>
          <w:szCs w:val="20"/>
          <w:highlight w:val="yellow"/>
        </w:rPr>
        <w:t>“</w:t>
      </w:r>
      <w:r w:rsidRPr="005E4E29">
        <w:rPr>
          <w:sz w:val="20"/>
          <w:szCs w:val="20"/>
          <w:highlight w:val="yellow"/>
        </w:rPr>
        <w:t>Food</w:t>
      </w:r>
      <w:r w:rsidRPr="005E4E29">
        <w:rPr>
          <w:sz w:val="20"/>
          <w:szCs w:val="20"/>
          <w:highlight w:val="yellow"/>
        </w:rPr>
        <w:t xml:space="preserve"> insecurity is associated with poor health”</w:t>
      </w:r>
      <w:r>
        <w:rPr>
          <w:sz w:val="20"/>
          <w:szCs w:val="20"/>
        </w:rPr>
        <w:t xml:space="preserve"> (Booth, as cited in Nolan et al., 2006, p.247).</w:t>
      </w:r>
    </w:p>
    <w:p w:rsidR="004E01C5" w:rsidRPr="004E01C5" w:rsidRDefault="004E01C5" w:rsidP="004E01C5">
      <w:pPr>
        <w:pStyle w:val="ListParagraph"/>
        <w:numPr>
          <w:ilvl w:val="0"/>
          <w:numId w:val="1"/>
        </w:numPr>
      </w:pPr>
      <w:r w:rsidRPr="001D500D">
        <w:rPr>
          <w:sz w:val="20"/>
          <w:szCs w:val="20"/>
          <w:highlight w:val="yellow"/>
        </w:rPr>
        <w:t>Children and young</w:t>
      </w:r>
      <w:r>
        <w:rPr>
          <w:sz w:val="20"/>
          <w:szCs w:val="20"/>
        </w:rPr>
        <w:t xml:space="preserve"> people</w:t>
      </w:r>
      <w:r>
        <w:rPr>
          <w:sz w:val="20"/>
          <w:szCs w:val="20"/>
        </w:rPr>
        <w:t xml:space="preserve"> generally lack agency and must </w:t>
      </w:r>
      <w:r w:rsidRPr="001D500D">
        <w:rPr>
          <w:sz w:val="20"/>
          <w:szCs w:val="20"/>
          <w:highlight w:val="yellow"/>
        </w:rPr>
        <w:t>rely on the decisions made by their parents or carers,</w:t>
      </w:r>
      <w:r>
        <w:rPr>
          <w:sz w:val="20"/>
          <w:szCs w:val="20"/>
        </w:rPr>
        <w:t xml:space="preserve"> which are shaped by </w:t>
      </w:r>
      <w:r w:rsidRPr="001D500D">
        <w:rPr>
          <w:sz w:val="20"/>
          <w:szCs w:val="20"/>
          <w:highlight w:val="yellow"/>
        </w:rPr>
        <w:t>financial constraints</w:t>
      </w:r>
      <w:r>
        <w:rPr>
          <w:sz w:val="20"/>
          <w:szCs w:val="20"/>
        </w:rPr>
        <w:t xml:space="preserve"> and numerous </w:t>
      </w:r>
      <w:r w:rsidRPr="001D500D">
        <w:rPr>
          <w:sz w:val="20"/>
          <w:szCs w:val="20"/>
          <w:highlight w:val="yellow"/>
        </w:rPr>
        <w:t>other factors</w:t>
      </w:r>
      <w:r>
        <w:rPr>
          <w:sz w:val="20"/>
          <w:szCs w:val="20"/>
        </w:rPr>
        <w:t xml:space="preserve"> such as the </w:t>
      </w:r>
      <w:r w:rsidRPr="001D500D">
        <w:rPr>
          <w:sz w:val="20"/>
          <w:szCs w:val="20"/>
          <w:highlight w:val="yellow"/>
        </w:rPr>
        <w:lastRenderedPageBreak/>
        <w:t>desire for convenience</w:t>
      </w:r>
      <w:r>
        <w:rPr>
          <w:sz w:val="20"/>
          <w:szCs w:val="20"/>
        </w:rPr>
        <w:t xml:space="preserve">. Parents </w:t>
      </w:r>
      <w:r w:rsidRPr="001D500D">
        <w:rPr>
          <w:sz w:val="20"/>
          <w:szCs w:val="20"/>
          <w:highlight w:val="yellow"/>
        </w:rPr>
        <w:t>need “information and support” to help promote healthy child development</w:t>
      </w:r>
      <w:r>
        <w:rPr>
          <w:sz w:val="20"/>
          <w:szCs w:val="20"/>
        </w:rPr>
        <w:t xml:space="preserve"> (</w:t>
      </w:r>
      <w:proofErr w:type="spellStart"/>
      <w:r>
        <w:rPr>
          <w:sz w:val="20"/>
          <w:szCs w:val="20"/>
        </w:rPr>
        <w:t>Giallo</w:t>
      </w:r>
      <w:proofErr w:type="spellEnd"/>
      <w:r>
        <w:rPr>
          <w:sz w:val="20"/>
          <w:szCs w:val="20"/>
        </w:rPr>
        <w:t xml:space="preserve">, </w:t>
      </w:r>
      <w:proofErr w:type="spellStart"/>
      <w:r>
        <w:rPr>
          <w:sz w:val="20"/>
          <w:szCs w:val="20"/>
        </w:rPr>
        <w:t>Treyvaud</w:t>
      </w:r>
      <w:proofErr w:type="spellEnd"/>
      <w:r>
        <w:rPr>
          <w:sz w:val="20"/>
          <w:szCs w:val="20"/>
        </w:rPr>
        <w:t xml:space="preserve">, </w:t>
      </w:r>
      <w:proofErr w:type="spellStart"/>
      <w:r>
        <w:rPr>
          <w:sz w:val="20"/>
          <w:szCs w:val="20"/>
        </w:rPr>
        <w:t>Kienhuis</w:t>
      </w:r>
      <w:proofErr w:type="spellEnd"/>
      <w:r>
        <w:rPr>
          <w:sz w:val="20"/>
          <w:szCs w:val="20"/>
        </w:rPr>
        <w:t xml:space="preserve"> and Matthews, 2008, p.43).</w:t>
      </w:r>
    </w:p>
    <w:p w:rsidR="004E01C5" w:rsidRPr="004E01C5" w:rsidRDefault="004E01C5" w:rsidP="004E01C5">
      <w:pPr>
        <w:pStyle w:val="ListParagraph"/>
        <w:numPr>
          <w:ilvl w:val="0"/>
          <w:numId w:val="1"/>
        </w:numPr>
      </w:pPr>
      <w:r>
        <w:rPr>
          <w:sz w:val="20"/>
          <w:szCs w:val="20"/>
        </w:rPr>
        <w:t xml:space="preserve">It is alarming that </w:t>
      </w:r>
      <w:r w:rsidRPr="001D500D">
        <w:rPr>
          <w:sz w:val="20"/>
          <w:szCs w:val="20"/>
          <w:highlight w:val="yellow"/>
        </w:rPr>
        <w:t>“households with no capacity to save money</w:t>
      </w:r>
      <w:r>
        <w:rPr>
          <w:sz w:val="20"/>
          <w:szCs w:val="20"/>
        </w:rPr>
        <w:t xml:space="preserve"> were </w:t>
      </w:r>
      <w:r w:rsidRPr="001D500D">
        <w:rPr>
          <w:sz w:val="20"/>
          <w:szCs w:val="20"/>
          <w:highlight w:val="yellow"/>
        </w:rPr>
        <w:t>five times more likely</w:t>
      </w:r>
      <w:r>
        <w:rPr>
          <w:sz w:val="20"/>
          <w:szCs w:val="20"/>
        </w:rPr>
        <w:t xml:space="preserve"> to be </w:t>
      </w:r>
      <w:r w:rsidRPr="001D500D">
        <w:rPr>
          <w:sz w:val="20"/>
          <w:szCs w:val="20"/>
          <w:highlight w:val="yellow"/>
        </w:rPr>
        <w:t>food insecure</w:t>
      </w:r>
      <w:r>
        <w:rPr>
          <w:sz w:val="20"/>
          <w:szCs w:val="20"/>
        </w:rPr>
        <w:t xml:space="preserve"> than households that could save” (Nolan et al., 2006, p.252), particularly considering the </w:t>
      </w:r>
      <w:r w:rsidRPr="001D500D">
        <w:rPr>
          <w:sz w:val="20"/>
          <w:szCs w:val="20"/>
          <w:highlight w:val="yellow"/>
        </w:rPr>
        <w:t>important interplay between “nutritional stability, young children, and learning”</w:t>
      </w:r>
      <w:r>
        <w:rPr>
          <w:sz w:val="20"/>
          <w:szCs w:val="20"/>
        </w:rPr>
        <w:t xml:space="preserve"> (</w:t>
      </w:r>
      <w:proofErr w:type="spellStart"/>
      <w:r>
        <w:rPr>
          <w:sz w:val="20"/>
          <w:szCs w:val="20"/>
        </w:rPr>
        <w:t>Winicki</w:t>
      </w:r>
      <w:proofErr w:type="spellEnd"/>
      <w:r>
        <w:rPr>
          <w:sz w:val="20"/>
          <w:szCs w:val="20"/>
        </w:rPr>
        <w:t xml:space="preserve"> and Jemison, 2003, p.8).</w:t>
      </w:r>
    </w:p>
    <w:p w:rsidR="004E01C5" w:rsidRPr="00AA6F7D" w:rsidRDefault="004E01C5" w:rsidP="004E01C5">
      <w:pPr>
        <w:rPr>
          <w:sz w:val="28"/>
          <w:szCs w:val="28"/>
          <w:u w:val="single"/>
        </w:rPr>
      </w:pPr>
      <w:r w:rsidRPr="00AA6F7D">
        <w:rPr>
          <w:sz w:val="28"/>
          <w:szCs w:val="28"/>
          <w:u w:val="single"/>
        </w:rPr>
        <w:t>Access to low-cost, healthy food</w:t>
      </w:r>
    </w:p>
    <w:p w:rsidR="004E01C5" w:rsidRPr="00735716" w:rsidRDefault="004E01C5" w:rsidP="00735716">
      <w:pPr>
        <w:pStyle w:val="ListParagraph"/>
        <w:numPr>
          <w:ilvl w:val="0"/>
          <w:numId w:val="2"/>
        </w:numPr>
        <w:rPr>
          <w:b/>
          <w:u w:val="single"/>
        </w:rPr>
      </w:pPr>
      <w:r w:rsidRPr="00735716">
        <w:rPr>
          <w:sz w:val="20"/>
          <w:szCs w:val="20"/>
        </w:rPr>
        <w:t xml:space="preserve">The </w:t>
      </w:r>
      <w:r w:rsidRPr="00DB5009">
        <w:rPr>
          <w:sz w:val="20"/>
          <w:szCs w:val="20"/>
          <w:highlight w:val="yellow"/>
        </w:rPr>
        <w:t>“availability and cost” of healthy food</w:t>
      </w:r>
      <w:r w:rsidRPr="00735716">
        <w:rPr>
          <w:sz w:val="20"/>
          <w:szCs w:val="20"/>
        </w:rPr>
        <w:t xml:space="preserve"> is an issue facing many Indigenous Australians (</w:t>
      </w:r>
      <w:proofErr w:type="spellStart"/>
      <w:r w:rsidRPr="00735716">
        <w:rPr>
          <w:sz w:val="20"/>
          <w:szCs w:val="20"/>
        </w:rPr>
        <w:t>Crengle</w:t>
      </w:r>
      <w:proofErr w:type="spellEnd"/>
      <w:r w:rsidRPr="00735716">
        <w:rPr>
          <w:sz w:val="20"/>
          <w:szCs w:val="20"/>
        </w:rPr>
        <w:t xml:space="preserve"> et al., 2009, p.73) that is </w:t>
      </w:r>
      <w:r w:rsidRPr="00DB5009">
        <w:rPr>
          <w:sz w:val="20"/>
          <w:szCs w:val="20"/>
          <w:highlight w:val="yellow"/>
        </w:rPr>
        <w:t xml:space="preserve">clearly linked to </w:t>
      </w:r>
      <w:r w:rsidR="00735716" w:rsidRPr="00DB5009">
        <w:rPr>
          <w:sz w:val="20"/>
          <w:szCs w:val="20"/>
          <w:highlight w:val="yellow"/>
        </w:rPr>
        <w:t>under nutrition</w:t>
      </w:r>
      <w:r w:rsidRPr="00DB5009">
        <w:rPr>
          <w:sz w:val="20"/>
          <w:szCs w:val="20"/>
          <w:highlight w:val="yellow"/>
        </w:rPr>
        <w:t xml:space="preserve"> and other health conditions</w:t>
      </w:r>
      <w:r w:rsidRPr="00735716">
        <w:rPr>
          <w:sz w:val="20"/>
          <w:szCs w:val="20"/>
        </w:rPr>
        <w:t xml:space="preserve"> (Australian Bureau of Statistics, 2008b, </w:t>
      </w:r>
      <w:proofErr w:type="spellStart"/>
      <w:r w:rsidRPr="00735716">
        <w:rPr>
          <w:sz w:val="20"/>
          <w:szCs w:val="20"/>
        </w:rPr>
        <w:t>p.xxii</w:t>
      </w:r>
      <w:proofErr w:type="spellEnd"/>
      <w:r w:rsidRPr="00735716">
        <w:rPr>
          <w:sz w:val="20"/>
          <w:szCs w:val="20"/>
        </w:rPr>
        <w:t>).</w:t>
      </w:r>
    </w:p>
    <w:p w:rsidR="00735716" w:rsidRPr="00735716" w:rsidRDefault="00735716" w:rsidP="00735716">
      <w:pPr>
        <w:pStyle w:val="ListParagraph"/>
        <w:numPr>
          <w:ilvl w:val="0"/>
          <w:numId w:val="2"/>
        </w:numPr>
        <w:rPr>
          <w:b/>
          <w:u w:val="single"/>
        </w:rPr>
      </w:pPr>
      <w:r w:rsidRPr="00DB5009">
        <w:rPr>
          <w:sz w:val="20"/>
          <w:szCs w:val="20"/>
          <w:highlight w:val="yellow"/>
        </w:rPr>
        <w:t>Aboriginal and Torres Strait Islander children are “nearly 30 times more likely to suffer from nutritional anaemia and malnutrition up to 4 years of age”</w:t>
      </w:r>
      <w:r>
        <w:rPr>
          <w:sz w:val="20"/>
          <w:szCs w:val="20"/>
        </w:rPr>
        <w:t xml:space="preserve"> (Australian Medical Association, in Freemantle and </w:t>
      </w:r>
      <w:proofErr w:type="spellStart"/>
      <w:r>
        <w:rPr>
          <w:sz w:val="20"/>
          <w:szCs w:val="20"/>
        </w:rPr>
        <w:t>McAullay</w:t>
      </w:r>
      <w:proofErr w:type="spellEnd"/>
      <w:r>
        <w:rPr>
          <w:sz w:val="20"/>
          <w:szCs w:val="20"/>
        </w:rPr>
        <w:t>, 2009, p.67).</w:t>
      </w:r>
    </w:p>
    <w:p w:rsidR="00735716" w:rsidRDefault="00735716" w:rsidP="00735716">
      <w:pPr>
        <w:pStyle w:val="ListParagraph"/>
        <w:numPr>
          <w:ilvl w:val="0"/>
          <w:numId w:val="2"/>
        </w:numPr>
        <w:rPr>
          <w:sz w:val="20"/>
          <w:szCs w:val="20"/>
        </w:rPr>
      </w:pPr>
      <w:r>
        <w:rPr>
          <w:sz w:val="20"/>
          <w:szCs w:val="20"/>
        </w:rPr>
        <w:t xml:space="preserve">Given that “poor nutrition severely limits a </w:t>
      </w:r>
      <w:r>
        <w:rPr>
          <w:sz w:val="20"/>
          <w:szCs w:val="20"/>
        </w:rPr>
        <w:t>child’s</w:t>
      </w:r>
      <w:r>
        <w:rPr>
          <w:sz w:val="20"/>
          <w:szCs w:val="20"/>
        </w:rPr>
        <w:t xml:space="preserve"> capacity to concentrate and learn at school” (Australian Institute of Health and Welfare, 2005, p.23), it is alarming to consider </w:t>
      </w:r>
      <w:r w:rsidRPr="00DB5009">
        <w:rPr>
          <w:sz w:val="20"/>
          <w:szCs w:val="20"/>
          <w:highlight w:val="yellow"/>
        </w:rPr>
        <w:t xml:space="preserve">that “Australia is the only developed country with high rates of </w:t>
      </w:r>
      <w:r w:rsidRPr="00DB5009">
        <w:rPr>
          <w:sz w:val="20"/>
          <w:szCs w:val="20"/>
          <w:highlight w:val="yellow"/>
        </w:rPr>
        <w:t>under nutrition</w:t>
      </w:r>
      <w:r w:rsidRPr="00DB5009">
        <w:rPr>
          <w:sz w:val="20"/>
          <w:szCs w:val="20"/>
          <w:highlight w:val="yellow"/>
        </w:rPr>
        <w:t xml:space="preserve"> in its Indigenous population”</w:t>
      </w:r>
      <w:r>
        <w:rPr>
          <w:sz w:val="20"/>
          <w:szCs w:val="20"/>
        </w:rPr>
        <w:t xml:space="preserve"> (Ruben, 2009, p.1290). Consequently, a key target of the Close the Gap Campaign</w:t>
      </w:r>
      <w:r>
        <w:rPr>
          <w:sz w:val="20"/>
          <w:szCs w:val="20"/>
        </w:rPr>
        <w:t xml:space="preserve"> is a “dramatic increase in the a</w:t>
      </w:r>
      <w:r w:rsidRPr="00735716">
        <w:rPr>
          <w:sz w:val="20"/>
          <w:szCs w:val="20"/>
        </w:rPr>
        <w:t>vailability of fresh and healthy food supplies in Aboriginal and Torres Strait Islander communities” (Close the Gap 2030 Community Guide).</w:t>
      </w:r>
    </w:p>
    <w:p w:rsidR="00EC1F03" w:rsidRDefault="00735716" w:rsidP="00EC1F03">
      <w:pPr>
        <w:pStyle w:val="ListParagraph"/>
        <w:numPr>
          <w:ilvl w:val="0"/>
          <w:numId w:val="2"/>
        </w:numPr>
        <w:rPr>
          <w:sz w:val="20"/>
          <w:szCs w:val="20"/>
        </w:rPr>
      </w:pPr>
      <w:r w:rsidRPr="00DB5009">
        <w:rPr>
          <w:sz w:val="20"/>
          <w:szCs w:val="20"/>
          <w:highlight w:val="yellow"/>
        </w:rPr>
        <w:t>Obesity</w:t>
      </w:r>
      <w:r w:rsidRPr="00DB5009">
        <w:rPr>
          <w:sz w:val="20"/>
          <w:szCs w:val="20"/>
          <w:highlight w:val="yellow"/>
        </w:rPr>
        <w:t xml:space="preserve"> and nutrition</w:t>
      </w:r>
      <w:r>
        <w:rPr>
          <w:sz w:val="20"/>
          <w:szCs w:val="20"/>
        </w:rPr>
        <w:t xml:space="preserve"> were identified as strategic </w:t>
      </w:r>
      <w:r w:rsidRPr="00DB5009">
        <w:rPr>
          <w:sz w:val="20"/>
          <w:szCs w:val="20"/>
          <w:highlight w:val="yellow"/>
        </w:rPr>
        <w:t>areas for action in the Overcoming Indigenous Disadvantage Report</w:t>
      </w:r>
      <w:r>
        <w:rPr>
          <w:sz w:val="20"/>
          <w:szCs w:val="20"/>
        </w:rPr>
        <w:t xml:space="preserve"> (2009). Without support, the disadvantage children experience today is likely to continue into adulthood – and on to the next generation</w:t>
      </w:r>
      <w:r>
        <w:rPr>
          <w:sz w:val="20"/>
          <w:szCs w:val="20"/>
        </w:rPr>
        <w:t>.</w:t>
      </w:r>
    </w:p>
    <w:p w:rsidR="00EC1F03" w:rsidRPr="00EC1F03" w:rsidRDefault="00EC1F03" w:rsidP="00EC1F03">
      <w:pPr>
        <w:rPr>
          <w:sz w:val="20"/>
          <w:szCs w:val="20"/>
        </w:rPr>
      </w:pPr>
    </w:p>
    <w:p w:rsidR="00EC1F03" w:rsidRPr="00AA6F7D" w:rsidRDefault="00EC1F03" w:rsidP="00EC1F03">
      <w:pPr>
        <w:rPr>
          <w:sz w:val="28"/>
          <w:szCs w:val="28"/>
          <w:u w:val="single"/>
        </w:rPr>
      </w:pPr>
      <w:r w:rsidRPr="00AA6F7D">
        <w:rPr>
          <w:sz w:val="28"/>
          <w:szCs w:val="28"/>
          <w:u w:val="single"/>
        </w:rPr>
        <w:t>Dental health</w:t>
      </w:r>
    </w:p>
    <w:p w:rsidR="00EC1F03" w:rsidRDefault="00EC1F03" w:rsidP="00EC1F03">
      <w:pPr>
        <w:rPr>
          <w:sz w:val="20"/>
          <w:szCs w:val="20"/>
        </w:rPr>
      </w:pPr>
      <w:r w:rsidRPr="00DB5009">
        <w:rPr>
          <w:sz w:val="20"/>
          <w:szCs w:val="20"/>
          <w:highlight w:val="yellow"/>
        </w:rPr>
        <w:t>Dental decay is the “most common chronic disease among children”</w:t>
      </w:r>
      <w:r>
        <w:rPr>
          <w:sz w:val="20"/>
          <w:szCs w:val="20"/>
        </w:rPr>
        <w:t xml:space="preserve"> (Parliament of NSW, 2009, p.123).</w:t>
      </w:r>
      <w:r w:rsidR="00081232">
        <w:rPr>
          <w:sz w:val="20"/>
          <w:szCs w:val="20"/>
        </w:rPr>
        <w:t xml:space="preserve"> Was</w:t>
      </w:r>
      <w:r w:rsidR="00081232">
        <w:rPr>
          <w:sz w:val="20"/>
          <w:szCs w:val="20"/>
        </w:rPr>
        <w:t xml:space="preserve"> a decline in the number of children (5–11 years) who underwent preventive treatment, and “this decline was particularly evident among uninsured children, children living in rural and remote areas and non-cardholders” (</w:t>
      </w:r>
      <w:proofErr w:type="spellStart"/>
      <w:r w:rsidR="00081232">
        <w:rPr>
          <w:sz w:val="20"/>
          <w:szCs w:val="20"/>
        </w:rPr>
        <w:t>Ellershaw</w:t>
      </w:r>
      <w:proofErr w:type="spellEnd"/>
      <w:r w:rsidR="00081232">
        <w:rPr>
          <w:sz w:val="20"/>
          <w:szCs w:val="20"/>
        </w:rPr>
        <w:t xml:space="preserve"> and Spencer, 2009, pp.vi; 37; 41)</w:t>
      </w:r>
    </w:p>
    <w:p w:rsidR="00081232" w:rsidRDefault="00081232" w:rsidP="00EC1F03">
      <w:pPr>
        <w:rPr>
          <w:sz w:val="20"/>
          <w:szCs w:val="20"/>
        </w:rPr>
      </w:pPr>
      <w:r>
        <w:rPr>
          <w:sz w:val="20"/>
          <w:szCs w:val="20"/>
        </w:rPr>
        <w:t xml:space="preserve">A recent report observed that a </w:t>
      </w:r>
      <w:r w:rsidRPr="00DB5009">
        <w:rPr>
          <w:sz w:val="20"/>
          <w:szCs w:val="20"/>
          <w:highlight w:val="yellow"/>
        </w:rPr>
        <w:t>greater proportion of Aboriginal and Torres Strait Islander children aged 4–15 years had higher rates of dental caries than other Australian children.</w:t>
      </w:r>
      <w:r w:rsidR="00BC445F">
        <w:rPr>
          <w:sz w:val="20"/>
          <w:szCs w:val="20"/>
        </w:rPr>
        <w:t xml:space="preserve"> </w:t>
      </w:r>
      <w:r w:rsidR="00BC445F">
        <w:rPr>
          <w:sz w:val="20"/>
          <w:szCs w:val="20"/>
        </w:rPr>
        <w:t xml:space="preserve">Even among children in the disadvantaged (4–6 years) category, disadvantaged Indigenous children fared worse, with a </w:t>
      </w:r>
      <w:proofErr w:type="spellStart"/>
      <w:r w:rsidR="00BC445F">
        <w:rPr>
          <w:sz w:val="20"/>
          <w:szCs w:val="20"/>
        </w:rPr>
        <w:t>dmft</w:t>
      </w:r>
      <w:proofErr w:type="spellEnd"/>
      <w:r w:rsidR="00544A33">
        <w:rPr>
          <w:rStyle w:val="FootnoteReference"/>
          <w:sz w:val="20"/>
          <w:szCs w:val="20"/>
        </w:rPr>
        <w:footnoteReference w:id="1"/>
      </w:r>
      <w:r w:rsidR="00BC445F">
        <w:rPr>
          <w:sz w:val="20"/>
          <w:szCs w:val="20"/>
        </w:rPr>
        <w:t xml:space="preserve"> score 2.5 times higher than their non-Indigenous peers. Further, Indigenous children under 5 years had a hospitalisation rate of almost one and a half times that of other Australian children for dental treatment (Jamieson, </w:t>
      </w:r>
      <w:proofErr w:type="spellStart"/>
      <w:r w:rsidR="00BC445F">
        <w:rPr>
          <w:sz w:val="20"/>
          <w:szCs w:val="20"/>
        </w:rPr>
        <w:t>Armfield</w:t>
      </w:r>
      <w:proofErr w:type="spellEnd"/>
      <w:r w:rsidR="00BC445F">
        <w:rPr>
          <w:sz w:val="20"/>
          <w:szCs w:val="20"/>
        </w:rPr>
        <w:t xml:space="preserve"> and Roberts-Thomson, 2007a, p.62).</w:t>
      </w:r>
      <w:r w:rsidR="00BC445F">
        <w:rPr>
          <w:sz w:val="20"/>
          <w:szCs w:val="20"/>
        </w:rPr>
        <w:t xml:space="preserve"> </w:t>
      </w:r>
      <w:r w:rsidR="00BC445F" w:rsidRPr="001D500D">
        <w:rPr>
          <w:sz w:val="20"/>
          <w:szCs w:val="20"/>
          <w:highlight w:val="yellow"/>
        </w:rPr>
        <w:t>Alarmingly, less than 5% of remote Indigenous preschool children regularly brush their teeth</w:t>
      </w:r>
      <w:r w:rsidR="00BC445F">
        <w:rPr>
          <w:sz w:val="20"/>
          <w:szCs w:val="20"/>
        </w:rPr>
        <w:t xml:space="preserve"> (Jamieson, </w:t>
      </w:r>
      <w:proofErr w:type="spellStart"/>
      <w:r w:rsidR="00BC445F">
        <w:rPr>
          <w:sz w:val="20"/>
          <w:szCs w:val="20"/>
        </w:rPr>
        <w:t>Armfield</w:t>
      </w:r>
      <w:proofErr w:type="spellEnd"/>
      <w:r w:rsidR="00BC445F">
        <w:rPr>
          <w:sz w:val="20"/>
          <w:szCs w:val="20"/>
        </w:rPr>
        <w:t xml:space="preserve"> and Roberts-Thomson, 2007a).</w:t>
      </w:r>
      <w:r w:rsidR="00BC445F">
        <w:rPr>
          <w:sz w:val="20"/>
          <w:szCs w:val="20"/>
        </w:rPr>
        <w:t xml:space="preserve"> </w:t>
      </w:r>
      <w:r w:rsidR="00BC445F">
        <w:rPr>
          <w:sz w:val="20"/>
          <w:szCs w:val="20"/>
        </w:rPr>
        <w:t xml:space="preserve">Apart from pain, there are </w:t>
      </w:r>
      <w:r w:rsidR="00BC445F" w:rsidRPr="001D500D">
        <w:rPr>
          <w:sz w:val="20"/>
          <w:szCs w:val="20"/>
          <w:highlight w:val="yellow"/>
        </w:rPr>
        <w:t>broader implications of oral disease</w:t>
      </w:r>
      <w:r w:rsidR="00BC445F">
        <w:rPr>
          <w:sz w:val="20"/>
          <w:szCs w:val="20"/>
        </w:rPr>
        <w:t xml:space="preserve"> that can impact upon Indigenous people, </w:t>
      </w:r>
      <w:r w:rsidR="00BC445F" w:rsidRPr="001D500D">
        <w:rPr>
          <w:sz w:val="20"/>
          <w:szCs w:val="20"/>
          <w:highlight w:val="yellow"/>
        </w:rPr>
        <w:t>including tooth loss, problems with speech and eating and decreased self-esteem</w:t>
      </w:r>
      <w:r w:rsidR="00BC445F">
        <w:rPr>
          <w:sz w:val="20"/>
          <w:szCs w:val="20"/>
        </w:rPr>
        <w:t xml:space="preserve"> (Low et al., as cited in Jamieson, </w:t>
      </w:r>
      <w:proofErr w:type="spellStart"/>
      <w:r w:rsidR="00BC445F">
        <w:rPr>
          <w:sz w:val="20"/>
          <w:szCs w:val="20"/>
        </w:rPr>
        <w:t>Armfield</w:t>
      </w:r>
      <w:proofErr w:type="spellEnd"/>
      <w:r w:rsidR="00BC445F">
        <w:rPr>
          <w:sz w:val="20"/>
          <w:szCs w:val="20"/>
        </w:rPr>
        <w:t xml:space="preserve"> and Roberts-Thomson, 2007a), </w:t>
      </w:r>
      <w:r w:rsidR="00BC445F" w:rsidRPr="001D500D">
        <w:rPr>
          <w:sz w:val="20"/>
          <w:szCs w:val="20"/>
          <w:highlight w:val="yellow"/>
        </w:rPr>
        <w:t>all of which can negatively affect learning</w:t>
      </w:r>
      <w:r w:rsidR="00BC445F">
        <w:rPr>
          <w:sz w:val="20"/>
          <w:szCs w:val="20"/>
        </w:rPr>
        <w:t>.</w:t>
      </w:r>
    </w:p>
    <w:p w:rsidR="005E4E29" w:rsidRDefault="005E4E29" w:rsidP="00EC1F03">
      <w:pPr>
        <w:rPr>
          <w:sz w:val="28"/>
          <w:szCs w:val="28"/>
          <w:u w:val="single"/>
        </w:rPr>
      </w:pPr>
    </w:p>
    <w:p w:rsidR="00624D88" w:rsidRDefault="00624D88" w:rsidP="00EC1F03">
      <w:pPr>
        <w:rPr>
          <w:sz w:val="28"/>
          <w:szCs w:val="28"/>
          <w:u w:val="single"/>
        </w:rPr>
      </w:pPr>
    </w:p>
    <w:p w:rsidR="00BC445F" w:rsidRDefault="00BC445F" w:rsidP="00EC1F03">
      <w:pPr>
        <w:rPr>
          <w:sz w:val="28"/>
          <w:szCs w:val="28"/>
          <w:u w:val="single"/>
        </w:rPr>
      </w:pPr>
      <w:bookmarkStart w:id="0" w:name="_GoBack"/>
      <w:bookmarkEnd w:id="0"/>
      <w:r w:rsidRPr="00BC445F">
        <w:rPr>
          <w:sz w:val="28"/>
          <w:szCs w:val="28"/>
          <w:u w:val="single"/>
        </w:rPr>
        <w:lastRenderedPageBreak/>
        <w:t>Eye and ear health</w:t>
      </w:r>
    </w:p>
    <w:p w:rsidR="00BC445F" w:rsidRDefault="00BC445F" w:rsidP="00BC445F">
      <w:pPr>
        <w:pStyle w:val="Default"/>
        <w:rPr>
          <w:rFonts w:ascii="Calibri" w:eastAsia="Calibri" w:hAnsi="Calibri" w:cs="Times New Roman"/>
          <w:color w:val="auto"/>
          <w:sz w:val="20"/>
          <w:szCs w:val="20"/>
        </w:rPr>
      </w:pPr>
      <w:r w:rsidRPr="001D500D">
        <w:rPr>
          <w:rFonts w:ascii="Calibri" w:eastAsia="Calibri" w:hAnsi="Calibri" w:cs="Times New Roman"/>
          <w:color w:val="auto"/>
          <w:sz w:val="20"/>
          <w:szCs w:val="20"/>
          <w:highlight w:val="yellow"/>
        </w:rPr>
        <w:t>Eye and ear problems “impair participation in education and limit employment opportunities”</w:t>
      </w:r>
      <w:r w:rsidRPr="00BC445F">
        <w:rPr>
          <w:rFonts w:ascii="Calibri" w:eastAsia="Calibri" w:hAnsi="Calibri" w:cs="Times New Roman"/>
          <w:color w:val="auto"/>
          <w:sz w:val="20"/>
          <w:szCs w:val="20"/>
        </w:rPr>
        <w:t xml:space="preserve"> (Hudson, 2009, p.5). Among </w:t>
      </w:r>
      <w:r w:rsidRPr="001D500D">
        <w:rPr>
          <w:rFonts w:ascii="Calibri" w:eastAsia="Calibri" w:hAnsi="Calibri" w:cs="Times New Roman"/>
          <w:color w:val="auto"/>
          <w:sz w:val="20"/>
          <w:szCs w:val="20"/>
          <w:highlight w:val="yellow"/>
        </w:rPr>
        <w:t>Indigenous children</w:t>
      </w:r>
      <w:r w:rsidRPr="00BC445F">
        <w:rPr>
          <w:rFonts w:ascii="Calibri" w:eastAsia="Calibri" w:hAnsi="Calibri" w:cs="Times New Roman"/>
          <w:color w:val="auto"/>
          <w:sz w:val="20"/>
          <w:szCs w:val="20"/>
        </w:rPr>
        <w:t>, the occurrence of “</w:t>
      </w:r>
      <w:r w:rsidRPr="001D500D">
        <w:rPr>
          <w:rFonts w:ascii="Calibri" w:eastAsia="Calibri" w:hAnsi="Calibri" w:cs="Times New Roman"/>
          <w:color w:val="auto"/>
          <w:sz w:val="20"/>
          <w:szCs w:val="20"/>
          <w:highlight w:val="yellow"/>
        </w:rPr>
        <w:t>ear/hearing problems,</w:t>
      </w:r>
      <w:r w:rsidRPr="00BC445F">
        <w:rPr>
          <w:rFonts w:ascii="Calibri" w:eastAsia="Calibri" w:hAnsi="Calibri" w:cs="Times New Roman"/>
          <w:color w:val="auto"/>
          <w:sz w:val="20"/>
          <w:szCs w:val="20"/>
        </w:rPr>
        <w:t xml:space="preserve"> including total/partial hearing loss” and middle ear infections is </w:t>
      </w:r>
      <w:r w:rsidRPr="001D500D">
        <w:rPr>
          <w:rFonts w:ascii="Calibri" w:eastAsia="Calibri" w:hAnsi="Calibri" w:cs="Times New Roman"/>
          <w:color w:val="auto"/>
          <w:sz w:val="20"/>
          <w:szCs w:val="20"/>
          <w:highlight w:val="yellow"/>
        </w:rPr>
        <w:t>three times higher than for non-</w:t>
      </w:r>
      <w:r w:rsidRPr="001D500D">
        <w:rPr>
          <w:rFonts w:ascii="Calibri" w:eastAsia="Calibri" w:hAnsi="Calibri" w:cs="Times New Roman"/>
          <w:color w:val="auto"/>
          <w:sz w:val="20"/>
          <w:szCs w:val="20"/>
          <w:highlight w:val="yellow"/>
        </w:rPr>
        <w:t>Indigenous children</w:t>
      </w:r>
      <w:r w:rsidRPr="00BC445F">
        <w:rPr>
          <w:rFonts w:ascii="Calibri" w:eastAsia="Calibri" w:hAnsi="Calibri" w:cs="Times New Roman"/>
          <w:color w:val="auto"/>
          <w:sz w:val="20"/>
          <w:szCs w:val="20"/>
        </w:rPr>
        <w:t xml:space="preserve"> (Australian Bureau of Statistics, 2006, p.6).</w:t>
      </w:r>
      <w:r w:rsidRPr="00BC445F">
        <w:rPr>
          <w:sz w:val="20"/>
          <w:szCs w:val="20"/>
        </w:rPr>
        <w:t xml:space="preserve"> </w:t>
      </w:r>
      <w:r w:rsidRPr="00BC445F">
        <w:rPr>
          <w:rFonts w:ascii="Calibri" w:eastAsia="Calibri" w:hAnsi="Calibri" w:cs="Times New Roman"/>
          <w:color w:val="auto"/>
          <w:sz w:val="20"/>
          <w:szCs w:val="20"/>
        </w:rPr>
        <w:t>It</w:t>
      </w:r>
      <w:r w:rsidRPr="00BC445F">
        <w:rPr>
          <w:rFonts w:ascii="Calibri" w:eastAsia="Calibri" w:hAnsi="Calibri" w:cs="Times New Roman"/>
          <w:color w:val="auto"/>
          <w:sz w:val="20"/>
          <w:szCs w:val="20"/>
        </w:rPr>
        <w:t xml:space="preserve"> is clear that Indigenous children whose hearing is damaged are </w:t>
      </w:r>
      <w:r w:rsidRPr="001D500D">
        <w:rPr>
          <w:rFonts w:ascii="Calibri" w:eastAsia="Calibri" w:hAnsi="Calibri" w:cs="Times New Roman"/>
          <w:color w:val="auto"/>
          <w:sz w:val="20"/>
          <w:szCs w:val="20"/>
          <w:highlight w:val="yellow"/>
        </w:rPr>
        <w:t>significantly disadvantaged in the classroom,</w:t>
      </w:r>
      <w:r w:rsidRPr="00BC445F">
        <w:rPr>
          <w:rFonts w:ascii="Calibri" w:eastAsia="Calibri" w:hAnsi="Calibri" w:cs="Times New Roman"/>
          <w:color w:val="auto"/>
          <w:sz w:val="20"/>
          <w:szCs w:val="20"/>
        </w:rPr>
        <w:t xml:space="preserve"> particularly in the areas of “reading and language acquisition”. In addition, evidence suggests that Indigenous children with CSOM have </w:t>
      </w:r>
      <w:r w:rsidRPr="001D500D">
        <w:rPr>
          <w:rFonts w:ascii="Calibri" w:eastAsia="Calibri" w:hAnsi="Calibri" w:cs="Times New Roman"/>
          <w:color w:val="auto"/>
          <w:sz w:val="20"/>
          <w:szCs w:val="20"/>
          <w:highlight w:val="yellow"/>
        </w:rPr>
        <w:t>lower school attendance rates</w:t>
      </w:r>
      <w:r w:rsidRPr="00BC445F">
        <w:rPr>
          <w:rFonts w:ascii="Calibri" w:eastAsia="Calibri" w:hAnsi="Calibri" w:cs="Times New Roman"/>
          <w:color w:val="auto"/>
          <w:sz w:val="20"/>
          <w:szCs w:val="20"/>
        </w:rPr>
        <w:t xml:space="preserve"> than other children (Australian Institute of Health and Welfare, 2005, p.23).</w:t>
      </w:r>
    </w:p>
    <w:p w:rsidR="00BC445F" w:rsidRDefault="00BC445F" w:rsidP="00BC445F">
      <w:pPr>
        <w:pStyle w:val="Default"/>
        <w:rPr>
          <w:rFonts w:ascii="Calibri" w:eastAsia="Calibri" w:hAnsi="Calibri" w:cs="Times New Roman"/>
          <w:color w:val="auto"/>
          <w:sz w:val="20"/>
          <w:szCs w:val="20"/>
        </w:rPr>
      </w:pPr>
    </w:p>
    <w:p w:rsidR="00BC445F" w:rsidRPr="00BC445F" w:rsidRDefault="00BC445F" w:rsidP="00BC445F">
      <w:pPr>
        <w:pStyle w:val="Default"/>
        <w:rPr>
          <w:rFonts w:ascii="Calibri" w:eastAsia="Calibri" w:hAnsi="Calibri" w:cs="Times New Roman"/>
          <w:color w:val="auto"/>
          <w:sz w:val="20"/>
          <w:szCs w:val="20"/>
        </w:rPr>
      </w:pPr>
      <w:r w:rsidRPr="001D500D">
        <w:rPr>
          <w:rFonts w:ascii="Calibri" w:eastAsia="Calibri" w:hAnsi="Calibri" w:cs="Times New Roman"/>
          <w:color w:val="auto"/>
          <w:sz w:val="20"/>
          <w:szCs w:val="20"/>
          <w:highlight w:val="yellow"/>
        </w:rPr>
        <w:t>Trachoma</w:t>
      </w:r>
      <w:r w:rsidRPr="00BC445F">
        <w:rPr>
          <w:rFonts w:ascii="Calibri" w:eastAsia="Calibri" w:hAnsi="Calibri" w:cs="Times New Roman"/>
          <w:color w:val="auto"/>
          <w:sz w:val="20"/>
          <w:szCs w:val="20"/>
        </w:rPr>
        <w:t xml:space="preserve"> is an </w:t>
      </w:r>
      <w:r w:rsidRPr="001D500D">
        <w:rPr>
          <w:rFonts w:ascii="Calibri" w:eastAsia="Calibri" w:hAnsi="Calibri" w:cs="Times New Roman"/>
          <w:color w:val="auto"/>
          <w:sz w:val="20"/>
          <w:szCs w:val="20"/>
          <w:highlight w:val="yellow"/>
        </w:rPr>
        <w:t>eye disease of early childhood</w:t>
      </w:r>
      <w:r w:rsidRPr="00BC445F">
        <w:rPr>
          <w:rFonts w:ascii="Calibri" w:eastAsia="Calibri" w:hAnsi="Calibri" w:cs="Times New Roman"/>
          <w:color w:val="auto"/>
          <w:sz w:val="20"/>
          <w:szCs w:val="20"/>
        </w:rPr>
        <w:t xml:space="preserve"> and the </w:t>
      </w:r>
      <w:r w:rsidRPr="001D500D">
        <w:rPr>
          <w:rFonts w:ascii="Calibri" w:eastAsia="Calibri" w:hAnsi="Calibri" w:cs="Times New Roman"/>
          <w:color w:val="auto"/>
          <w:sz w:val="20"/>
          <w:szCs w:val="20"/>
          <w:highlight w:val="yellow"/>
        </w:rPr>
        <w:t>most common cause of infectious blindness</w:t>
      </w:r>
      <w:r w:rsidRPr="00BC445F">
        <w:rPr>
          <w:rFonts w:ascii="Calibri" w:eastAsia="Calibri" w:hAnsi="Calibri" w:cs="Times New Roman"/>
          <w:color w:val="auto"/>
          <w:sz w:val="20"/>
          <w:szCs w:val="20"/>
        </w:rPr>
        <w:t xml:space="preserve">. </w:t>
      </w:r>
      <w:r w:rsidRPr="001D500D">
        <w:rPr>
          <w:rFonts w:ascii="Calibri" w:eastAsia="Calibri" w:hAnsi="Calibri" w:cs="Times New Roman"/>
          <w:color w:val="auto"/>
          <w:sz w:val="20"/>
          <w:szCs w:val="20"/>
          <w:highlight w:val="yellow"/>
        </w:rPr>
        <w:t>Australia is “the only developed country to still have blinding endemic trachoma”.</w:t>
      </w:r>
      <w:r w:rsidRPr="00BC445F">
        <w:rPr>
          <w:rFonts w:ascii="Calibri" w:eastAsia="Calibri" w:hAnsi="Calibri" w:cs="Times New Roman"/>
          <w:color w:val="auto"/>
          <w:sz w:val="20"/>
          <w:szCs w:val="20"/>
        </w:rPr>
        <w:t xml:space="preserve"> Research indicates that between </w:t>
      </w:r>
      <w:r w:rsidRPr="001D500D">
        <w:rPr>
          <w:rFonts w:ascii="Calibri" w:eastAsia="Calibri" w:hAnsi="Calibri" w:cs="Times New Roman"/>
          <w:color w:val="auto"/>
          <w:sz w:val="20"/>
          <w:szCs w:val="20"/>
          <w:highlight w:val="yellow"/>
        </w:rPr>
        <w:t>20% and 30% of Indigenous children in “rural and remote Australia” are afflicted with trachoma.</w:t>
      </w:r>
      <w:r w:rsidRPr="00BC445F">
        <w:rPr>
          <w:rFonts w:ascii="Calibri" w:eastAsia="Calibri" w:hAnsi="Calibri" w:cs="Times New Roman"/>
          <w:color w:val="auto"/>
          <w:sz w:val="20"/>
          <w:szCs w:val="20"/>
        </w:rPr>
        <w:t xml:space="preserve"> Trachoma can be </w:t>
      </w:r>
      <w:r w:rsidRPr="001D500D">
        <w:rPr>
          <w:rFonts w:ascii="Calibri" w:eastAsia="Calibri" w:hAnsi="Calibri" w:cs="Times New Roman"/>
          <w:color w:val="auto"/>
          <w:sz w:val="20"/>
          <w:szCs w:val="20"/>
          <w:highlight w:val="yellow"/>
        </w:rPr>
        <w:t>treated with antibiotics</w:t>
      </w:r>
      <w:r w:rsidRPr="00BC445F">
        <w:rPr>
          <w:rFonts w:ascii="Calibri" w:eastAsia="Calibri" w:hAnsi="Calibri" w:cs="Times New Roman"/>
          <w:color w:val="auto"/>
          <w:sz w:val="20"/>
          <w:szCs w:val="20"/>
        </w:rPr>
        <w:t xml:space="preserve"> and </w:t>
      </w:r>
      <w:r w:rsidRPr="001D500D">
        <w:rPr>
          <w:rFonts w:ascii="Calibri" w:eastAsia="Calibri" w:hAnsi="Calibri" w:cs="Times New Roman"/>
          <w:color w:val="auto"/>
          <w:sz w:val="20"/>
          <w:szCs w:val="20"/>
          <w:highlight w:val="yellow"/>
        </w:rPr>
        <w:t>prevented with good facial hygiene</w:t>
      </w:r>
      <w:r w:rsidRPr="00BC445F">
        <w:rPr>
          <w:rFonts w:ascii="Calibri" w:eastAsia="Calibri" w:hAnsi="Calibri" w:cs="Times New Roman"/>
          <w:color w:val="auto"/>
          <w:sz w:val="20"/>
          <w:szCs w:val="20"/>
        </w:rPr>
        <w:t xml:space="preserve"> (</w:t>
      </w:r>
      <w:proofErr w:type="spellStart"/>
      <w:r w:rsidRPr="00BC445F">
        <w:rPr>
          <w:rFonts w:ascii="Calibri" w:eastAsia="Calibri" w:hAnsi="Calibri" w:cs="Times New Roman"/>
          <w:color w:val="auto"/>
          <w:sz w:val="20"/>
          <w:szCs w:val="20"/>
        </w:rPr>
        <w:t>Crengle</w:t>
      </w:r>
      <w:proofErr w:type="spellEnd"/>
      <w:r w:rsidRPr="00BC445F">
        <w:rPr>
          <w:rFonts w:ascii="Calibri" w:eastAsia="Calibri" w:hAnsi="Calibri" w:cs="Times New Roman"/>
          <w:color w:val="auto"/>
          <w:sz w:val="20"/>
          <w:szCs w:val="20"/>
        </w:rPr>
        <w:t xml:space="preserve"> et al., 2009, p.85). </w:t>
      </w:r>
      <w:r w:rsidRPr="001D500D">
        <w:rPr>
          <w:rFonts w:ascii="Calibri" w:eastAsia="Calibri" w:hAnsi="Calibri" w:cs="Times New Roman"/>
          <w:color w:val="auto"/>
          <w:sz w:val="20"/>
          <w:szCs w:val="20"/>
          <w:highlight w:val="yellow"/>
        </w:rPr>
        <w:t>Education and preventive measures</w:t>
      </w:r>
      <w:r w:rsidRPr="00BC445F">
        <w:rPr>
          <w:rFonts w:ascii="Calibri" w:eastAsia="Calibri" w:hAnsi="Calibri" w:cs="Times New Roman"/>
          <w:color w:val="auto"/>
          <w:sz w:val="20"/>
          <w:szCs w:val="20"/>
        </w:rPr>
        <w:t>, if c</w:t>
      </w:r>
      <w:r w:rsidRPr="001D500D">
        <w:rPr>
          <w:rFonts w:ascii="Calibri" w:eastAsia="Calibri" w:hAnsi="Calibri" w:cs="Times New Roman"/>
          <w:color w:val="auto"/>
          <w:sz w:val="20"/>
          <w:szCs w:val="20"/>
          <w:highlight w:val="yellow"/>
        </w:rPr>
        <w:t>ommunicated effectively</w:t>
      </w:r>
      <w:r w:rsidRPr="00BC445F">
        <w:rPr>
          <w:rFonts w:ascii="Calibri" w:eastAsia="Calibri" w:hAnsi="Calibri" w:cs="Times New Roman"/>
          <w:color w:val="auto"/>
          <w:sz w:val="20"/>
          <w:szCs w:val="20"/>
        </w:rPr>
        <w:t xml:space="preserve">, could make a </w:t>
      </w:r>
      <w:r w:rsidRPr="001D500D">
        <w:rPr>
          <w:rFonts w:ascii="Calibri" w:eastAsia="Calibri" w:hAnsi="Calibri" w:cs="Times New Roman"/>
          <w:color w:val="auto"/>
          <w:sz w:val="20"/>
          <w:szCs w:val="20"/>
          <w:highlight w:val="yellow"/>
        </w:rPr>
        <w:t>significant contribution to reducing the risk of eye and ear problems and enhance the learning of Indigenous students by preserving their vision and hearing.</w:t>
      </w:r>
      <w:r w:rsidRPr="00BC445F">
        <w:rPr>
          <w:rFonts w:ascii="Calibri" w:eastAsia="Calibri" w:hAnsi="Calibri" w:cs="Times New Roman"/>
          <w:color w:val="auto"/>
          <w:sz w:val="20"/>
          <w:szCs w:val="20"/>
        </w:rPr>
        <w:t xml:space="preserve"> Significantly, research exploring the links between health and education among Indigenous people is limited (Johnston, Lea and </w:t>
      </w:r>
      <w:proofErr w:type="spellStart"/>
      <w:r w:rsidRPr="00BC445F">
        <w:rPr>
          <w:rFonts w:ascii="Calibri" w:eastAsia="Calibri" w:hAnsi="Calibri" w:cs="Times New Roman"/>
          <w:color w:val="auto"/>
          <w:sz w:val="20"/>
          <w:szCs w:val="20"/>
        </w:rPr>
        <w:t>Carapetis</w:t>
      </w:r>
      <w:proofErr w:type="spellEnd"/>
      <w:r w:rsidRPr="00BC445F">
        <w:rPr>
          <w:rFonts w:ascii="Calibri" w:eastAsia="Calibri" w:hAnsi="Calibri" w:cs="Times New Roman"/>
          <w:color w:val="auto"/>
          <w:sz w:val="20"/>
          <w:szCs w:val="20"/>
        </w:rPr>
        <w:t>, 2009).</w:t>
      </w:r>
    </w:p>
    <w:p w:rsidR="00EC1F03" w:rsidRDefault="00EC1F03" w:rsidP="00EC1F03">
      <w:pPr>
        <w:rPr>
          <w:sz w:val="20"/>
          <w:szCs w:val="20"/>
        </w:rPr>
      </w:pPr>
    </w:p>
    <w:p w:rsidR="00BC445F" w:rsidRDefault="00BC445F" w:rsidP="00EC1F03">
      <w:pPr>
        <w:rPr>
          <w:b/>
          <w:bCs/>
          <w:sz w:val="32"/>
          <w:szCs w:val="32"/>
          <w:u w:val="single"/>
        </w:rPr>
      </w:pPr>
      <w:r w:rsidRPr="00BC445F">
        <w:rPr>
          <w:b/>
          <w:bCs/>
          <w:sz w:val="32"/>
          <w:szCs w:val="32"/>
          <w:u w:val="single"/>
        </w:rPr>
        <w:t>Part Four: Enhancing learning through improved health and nutrition</w:t>
      </w:r>
    </w:p>
    <w:p w:rsidR="00BC445F" w:rsidRDefault="00BC445F" w:rsidP="00EC1F03">
      <w:pPr>
        <w:rPr>
          <w:sz w:val="20"/>
          <w:szCs w:val="20"/>
        </w:rPr>
      </w:pPr>
      <w:r>
        <w:rPr>
          <w:sz w:val="20"/>
          <w:szCs w:val="20"/>
        </w:rPr>
        <w:t xml:space="preserve">There is a growing body of research that highlights </w:t>
      </w:r>
      <w:r w:rsidRPr="00A81DF3">
        <w:rPr>
          <w:sz w:val="20"/>
          <w:szCs w:val="20"/>
          <w:highlight w:val="yellow"/>
        </w:rPr>
        <w:t>positive links between nutrition, physical activity, learning and school performance</w:t>
      </w:r>
    </w:p>
    <w:p w:rsidR="00BC445F" w:rsidRPr="00AA6F7D" w:rsidRDefault="00BC445F" w:rsidP="00EC1F03">
      <w:pPr>
        <w:rPr>
          <w:sz w:val="28"/>
          <w:szCs w:val="28"/>
          <w:u w:val="single"/>
        </w:rPr>
      </w:pPr>
      <w:r w:rsidRPr="00AA6F7D">
        <w:rPr>
          <w:sz w:val="28"/>
          <w:szCs w:val="28"/>
          <w:u w:val="single"/>
        </w:rPr>
        <w:t>Nutrition, food insecurity and school meals</w:t>
      </w:r>
    </w:p>
    <w:p w:rsidR="00BC445F" w:rsidRDefault="00BC445F" w:rsidP="00EC1F03">
      <w:pPr>
        <w:rPr>
          <w:sz w:val="20"/>
          <w:szCs w:val="20"/>
        </w:rPr>
      </w:pPr>
      <w:r>
        <w:rPr>
          <w:sz w:val="20"/>
          <w:szCs w:val="20"/>
        </w:rPr>
        <w:t>Diet quality also impacts upon academic performance and “is related to development, cognitive and behavioural outcomes” (</w:t>
      </w:r>
      <w:proofErr w:type="spellStart"/>
      <w:r>
        <w:rPr>
          <w:sz w:val="20"/>
          <w:szCs w:val="20"/>
        </w:rPr>
        <w:t>Sorha</w:t>
      </w:r>
      <w:r>
        <w:rPr>
          <w:sz w:val="20"/>
          <w:szCs w:val="20"/>
        </w:rPr>
        <w:t>indo</w:t>
      </w:r>
      <w:proofErr w:type="spellEnd"/>
      <w:r>
        <w:rPr>
          <w:sz w:val="20"/>
          <w:szCs w:val="20"/>
        </w:rPr>
        <w:t xml:space="preserve"> and Feinstein, 2006, p.22). T</w:t>
      </w:r>
      <w:r>
        <w:rPr>
          <w:sz w:val="20"/>
          <w:szCs w:val="20"/>
        </w:rPr>
        <w:t xml:space="preserve">he evidence for </w:t>
      </w:r>
      <w:r w:rsidRPr="00A81DF3">
        <w:rPr>
          <w:sz w:val="20"/>
          <w:szCs w:val="20"/>
          <w:highlight w:val="yellow"/>
        </w:rPr>
        <w:t>promotion of physical activity and a diet low in fat, salt and sugar but high in fruits, vegetables and complex carbohydrates remains unequivocal in terms of health outcomes for all schoolchildren”</w:t>
      </w:r>
      <w:r>
        <w:rPr>
          <w:sz w:val="20"/>
          <w:szCs w:val="20"/>
        </w:rPr>
        <w:t xml:space="preserve"> (Ellis et al., 2008, p.933).</w:t>
      </w:r>
    </w:p>
    <w:p w:rsidR="00BC445F" w:rsidRPr="00AA6F7D" w:rsidRDefault="005E4E29" w:rsidP="005E4E29">
      <w:pPr>
        <w:tabs>
          <w:tab w:val="left" w:pos="3246"/>
        </w:tabs>
        <w:rPr>
          <w:sz w:val="28"/>
          <w:szCs w:val="28"/>
          <w:u w:val="single"/>
        </w:rPr>
      </w:pPr>
      <w:r w:rsidRPr="005E4E29">
        <w:rPr>
          <w:sz w:val="28"/>
          <w:szCs w:val="28"/>
          <w:highlight w:val="yellow"/>
          <w:u w:val="single"/>
        </w:rPr>
        <w:t>Breakfast</w:t>
      </w:r>
    </w:p>
    <w:p w:rsidR="00BC445F" w:rsidRDefault="00BC445F" w:rsidP="00EC1F03">
      <w:pPr>
        <w:rPr>
          <w:sz w:val="20"/>
          <w:szCs w:val="20"/>
        </w:rPr>
      </w:pPr>
      <w:r>
        <w:rPr>
          <w:sz w:val="20"/>
          <w:szCs w:val="20"/>
        </w:rPr>
        <w:t xml:space="preserve">General health </w:t>
      </w:r>
      <w:r w:rsidRPr="00A81DF3">
        <w:rPr>
          <w:sz w:val="20"/>
          <w:szCs w:val="20"/>
          <w:highlight w:val="yellow"/>
        </w:rPr>
        <w:t>benefits associated with breakfast consumption</w:t>
      </w:r>
      <w:r>
        <w:rPr>
          <w:sz w:val="20"/>
          <w:szCs w:val="20"/>
        </w:rPr>
        <w:t xml:space="preserve"> include the likelihood of </w:t>
      </w:r>
      <w:r w:rsidRPr="00A81DF3">
        <w:rPr>
          <w:sz w:val="20"/>
          <w:szCs w:val="20"/>
          <w:highlight w:val="yellow"/>
        </w:rPr>
        <w:t>“better overall diet quality” and “more healthful body weights</w:t>
      </w:r>
      <w:r>
        <w:rPr>
          <w:sz w:val="20"/>
          <w:szCs w:val="20"/>
        </w:rPr>
        <w:t xml:space="preserve"> in children and adolescents, despite possibly higher daily energy intakes in breakfast consumers”.</w:t>
      </w:r>
    </w:p>
    <w:p w:rsidR="00BC445F" w:rsidRDefault="00BC445F" w:rsidP="00EC1F03">
      <w:pPr>
        <w:rPr>
          <w:sz w:val="20"/>
          <w:szCs w:val="20"/>
        </w:rPr>
      </w:pPr>
      <w:r>
        <w:rPr>
          <w:sz w:val="20"/>
          <w:szCs w:val="20"/>
        </w:rPr>
        <w:t xml:space="preserve">A recent Australian study of over eight hundred youths aged 13 to 15, </w:t>
      </w:r>
      <w:r>
        <w:rPr>
          <w:sz w:val="20"/>
          <w:szCs w:val="20"/>
        </w:rPr>
        <w:t>…</w:t>
      </w:r>
      <w:r>
        <w:rPr>
          <w:sz w:val="20"/>
          <w:szCs w:val="20"/>
        </w:rPr>
        <w:t xml:space="preserve">concluded that </w:t>
      </w:r>
      <w:r w:rsidRPr="00A81DF3">
        <w:rPr>
          <w:sz w:val="20"/>
          <w:szCs w:val="20"/>
          <w:highlight w:val="yellow"/>
        </w:rPr>
        <w:t>“a higher-quality breakfast, consisting of foods from multiple food groups, was significantly related to better mental health scores in adolescents”</w:t>
      </w:r>
      <w:r>
        <w:rPr>
          <w:sz w:val="20"/>
          <w:szCs w:val="20"/>
        </w:rPr>
        <w:t xml:space="preserve"> </w:t>
      </w:r>
      <w:r>
        <w:rPr>
          <w:sz w:val="20"/>
          <w:szCs w:val="20"/>
        </w:rPr>
        <w:t>(</w:t>
      </w:r>
      <w:proofErr w:type="spellStart"/>
      <w:r>
        <w:rPr>
          <w:sz w:val="20"/>
          <w:szCs w:val="20"/>
        </w:rPr>
        <w:t>O‟Sullivan</w:t>
      </w:r>
      <w:proofErr w:type="spellEnd"/>
      <w:r>
        <w:rPr>
          <w:sz w:val="20"/>
          <w:szCs w:val="20"/>
        </w:rPr>
        <w:t xml:space="preserve"> et al., 2008, p.257), highlighting that diet quality can impact positively on mental health</w:t>
      </w:r>
      <w:r w:rsidR="003C111A">
        <w:rPr>
          <w:sz w:val="20"/>
          <w:szCs w:val="20"/>
        </w:rPr>
        <w:t xml:space="preserve">. </w:t>
      </w:r>
      <w:r w:rsidR="003C111A">
        <w:rPr>
          <w:sz w:val="20"/>
          <w:szCs w:val="20"/>
        </w:rPr>
        <w:t>This is significant given that the World Health Organization predicts that “depression will be the second greatest disease burden on the world by the year 2020” (Cahill and Freeman, 2006, p.82).</w:t>
      </w:r>
    </w:p>
    <w:p w:rsidR="003C111A" w:rsidRDefault="003C111A" w:rsidP="00EC1F03">
      <w:pPr>
        <w:rPr>
          <w:sz w:val="20"/>
          <w:szCs w:val="20"/>
        </w:rPr>
      </w:pPr>
      <w:r>
        <w:rPr>
          <w:sz w:val="20"/>
          <w:szCs w:val="20"/>
        </w:rPr>
        <w:t xml:space="preserve">However, the nutritional quality of the food consumed for breakfast is important; it is not enough to simply eat breakfast. Recent research found that a </w:t>
      </w:r>
      <w:r w:rsidRPr="00A81DF3">
        <w:rPr>
          <w:sz w:val="20"/>
          <w:szCs w:val="20"/>
          <w:highlight w:val="yellow"/>
        </w:rPr>
        <w:t>quality breakfast composed of “three or more food groups” was “positively associated with overall diet quality”</w:t>
      </w:r>
      <w:r>
        <w:rPr>
          <w:sz w:val="20"/>
          <w:szCs w:val="20"/>
        </w:rPr>
        <w:t xml:space="preserve"> (</w:t>
      </w:r>
      <w:proofErr w:type="spellStart"/>
      <w:r>
        <w:rPr>
          <w:sz w:val="20"/>
          <w:szCs w:val="20"/>
        </w:rPr>
        <w:t>O‟Sullivan</w:t>
      </w:r>
      <w:proofErr w:type="spellEnd"/>
      <w:r>
        <w:rPr>
          <w:sz w:val="20"/>
          <w:szCs w:val="20"/>
        </w:rPr>
        <w:t xml:space="preserve"> et al., 2008, pp.252; 255). Significantly, another study concluded that “adolescents who eat breakfast and other meals regularly are more likely to display other healthy behaviours, such as a good diet, lower alcohol consumption and abstinence from smoking” (Lien, as cited in </w:t>
      </w:r>
      <w:proofErr w:type="spellStart"/>
      <w:r>
        <w:rPr>
          <w:sz w:val="20"/>
          <w:szCs w:val="20"/>
        </w:rPr>
        <w:t>O‟Sullivan</w:t>
      </w:r>
      <w:proofErr w:type="spellEnd"/>
      <w:r>
        <w:rPr>
          <w:sz w:val="20"/>
          <w:szCs w:val="20"/>
        </w:rPr>
        <w:t xml:space="preserve"> et al., 2008, p.254).</w:t>
      </w:r>
    </w:p>
    <w:p w:rsidR="005E4E29" w:rsidRDefault="005E4E29" w:rsidP="00EC1F03">
      <w:pPr>
        <w:rPr>
          <w:sz w:val="20"/>
          <w:szCs w:val="20"/>
        </w:rPr>
      </w:pPr>
    </w:p>
    <w:p w:rsidR="00D469DA" w:rsidRDefault="003C111A" w:rsidP="00EC1F03">
      <w:pPr>
        <w:rPr>
          <w:sz w:val="20"/>
          <w:szCs w:val="20"/>
        </w:rPr>
      </w:pPr>
      <w:r>
        <w:rPr>
          <w:sz w:val="20"/>
          <w:szCs w:val="20"/>
        </w:rPr>
        <w:t xml:space="preserve">Significantly, there is </w:t>
      </w:r>
      <w:r w:rsidRPr="00A81DF3">
        <w:rPr>
          <w:sz w:val="20"/>
          <w:szCs w:val="20"/>
          <w:highlight w:val="yellow"/>
        </w:rPr>
        <w:t>evidence of a link between disadvantage and the consumption of poor quality breakfast.</w:t>
      </w:r>
      <w:r>
        <w:rPr>
          <w:sz w:val="20"/>
          <w:szCs w:val="20"/>
        </w:rPr>
        <w:t xml:space="preserve"> Adolescents with “lower breakfast quality scores were significantly more likely to be female, have mothers with a younger maternal age and a lower level of maternal education, come from lower-income families, have higher screen use and be less physically active” (</w:t>
      </w:r>
      <w:proofErr w:type="spellStart"/>
      <w:r>
        <w:rPr>
          <w:sz w:val="20"/>
          <w:szCs w:val="20"/>
        </w:rPr>
        <w:t>O‟Sullivan</w:t>
      </w:r>
      <w:proofErr w:type="spellEnd"/>
      <w:r>
        <w:rPr>
          <w:sz w:val="20"/>
          <w:szCs w:val="20"/>
        </w:rPr>
        <w:t xml:space="preserve"> et al., 2008, p.252). </w:t>
      </w:r>
      <w:r w:rsidRPr="00DA541B">
        <w:rPr>
          <w:sz w:val="20"/>
          <w:szCs w:val="20"/>
          <w:highlight w:val="yellow"/>
        </w:rPr>
        <w:t>Without support, the disadvantage young people experience today is likely to continue into adulthood – and on to the next generation.</w:t>
      </w:r>
    </w:p>
    <w:p w:rsidR="00F12DD3" w:rsidRDefault="00F12DD3" w:rsidP="00EC1F03">
      <w:pPr>
        <w:rPr>
          <w:b/>
          <w:bCs/>
          <w:sz w:val="32"/>
          <w:szCs w:val="32"/>
          <w:u w:val="single"/>
        </w:rPr>
      </w:pPr>
    </w:p>
    <w:sdt>
      <w:sdtPr>
        <w:id w:val="1191955237"/>
        <w:docPartObj>
          <w:docPartGallery w:val="Bibliographies"/>
          <w:docPartUnique/>
        </w:docPartObj>
      </w:sdtPr>
      <w:sdtEndPr>
        <w:rPr>
          <w:rFonts w:ascii="Calibri" w:eastAsia="Calibri" w:hAnsi="Calibri" w:cs="Times New Roman"/>
          <w:b w:val="0"/>
          <w:bCs w:val="0"/>
          <w:color w:val="auto"/>
          <w:sz w:val="22"/>
          <w:szCs w:val="22"/>
          <w:lang w:val="en-AU" w:eastAsia="en-US"/>
        </w:rPr>
      </w:sdtEndPr>
      <w:sdtContent>
        <w:p w:rsidR="00F12DD3" w:rsidRDefault="00F12DD3">
          <w:pPr>
            <w:pStyle w:val="Heading1"/>
          </w:pPr>
          <w:r>
            <w:t>Bibliography</w:t>
          </w:r>
        </w:p>
        <w:sdt>
          <w:sdtPr>
            <w:id w:val="111145805"/>
            <w:bibliography/>
          </w:sdtPr>
          <w:sdtContent>
            <w:p w:rsidR="00F12DD3" w:rsidRDefault="00F12DD3" w:rsidP="00F12DD3">
              <w:pPr>
                <w:pStyle w:val="Bibliography"/>
                <w:ind w:left="720" w:hanging="720"/>
                <w:rPr>
                  <w:noProof/>
                  <w:lang w:val="en-US"/>
                </w:rPr>
              </w:pPr>
              <w:r>
                <w:fldChar w:fldCharType="begin"/>
              </w:r>
              <w:r>
                <w:instrText xml:space="preserve"> BIBLIOGRAPHY </w:instrText>
              </w:r>
              <w:r>
                <w:fldChar w:fldCharType="separate"/>
              </w:r>
              <w:r>
                <w:rPr>
                  <w:noProof/>
                  <w:lang w:val="en-US"/>
                </w:rPr>
                <w:t xml:space="preserve">The Smith Family. (2011). </w:t>
              </w:r>
              <w:r>
                <w:rPr>
                  <w:i/>
                  <w:iCs/>
                  <w:noProof/>
                  <w:lang w:val="en-US"/>
                </w:rPr>
                <w:t>How is learning enhanced through improved nutrition?</w:t>
              </w:r>
              <w:r>
                <w:rPr>
                  <w:noProof/>
                  <w:lang w:val="en-US"/>
                </w:rPr>
                <w:t xml:space="preserve"> Sydney: The Smith Family.</w:t>
              </w:r>
            </w:p>
            <w:p w:rsidR="00F12DD3" w:rsidRDefault="00F12DD3" w:rsidP="00F12DD3">
              <w:r>
                <w:rPr>
                  <w:b/>
                  <w:bCs/>
                  <w:noProof/>
                </w:rPr>
                <w:fldChar w:fldCharType="end"/>
              </w:r>
            </w:p>
          </w:sdtContent>
        </w:sdt>
      </w:sdtContent>
    </w:sdt>
    <w:p w:rsidR="00F12DD3" w:rsidRDefault="00F12DD3" w:rsidP="00EC1F03">
      <w:pPr>
        <w:rPr>
          <w:b/>
          <w:bCs/>
          <w:sz w:val="32"/>
          <w:szCs w:val="32"/>
          <w:u w:val="single"/>
        </w:rPr>
      </w:pPr>
    </w:p>
    <w:sectPr w:rsidR="00F12DD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A30" w:rsidRDefault="004B0A30" w:rsidP="004B0A30">
      <w:pPr>
        <w:spacing w:after="0" w:line="240" w:lineRule="auto"/>
      </w:pPr>
      <w:r>
        <w:separator/>
      </w:r>
    </w:p>
  </w:endnote>
  <w:endnote w:type="continuationSeparator" w:id="0">
    <w:p w:rsidR="004B0A30" w:rsidRDefault="004B0A30" w:rsidP="004B0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973864"/>
      <w:docPartObj>
        <w:docPartGallery w:val="Page Numbers (Bottom of Page)"/>
        <w:docPartUnique/>
      </w:docPartObj>
    </w:sdtPr>
    <w:sdtEndPr>
      <w:rPr>
        <w:noProof/>
      </w:rPr>
    </w:sdtEndPr>
    <w:sdtContent>
      <w:p w:rsidR="00F12DD3" w:rsidRDefault="00F12DD3">
        <w:pPr>
          <w:pStyle w:val="Footer"/>
          <w:jc w:val="right"/>
        </w:pPr>
        <w:r>
          <w:fldChar w:fldCharType="begin"/>
        </w:r>
        <w:r>
          <w:instrText xml:space="preserve"> PAGE   \* MERGEFORMAT </w:instrText>
        </w:r>
        <w:r>
          <w:fldChar w:fldCharType="separate"/>
        </w:r>
        <w:r w:rsidR="000920CC">
          <w:rPr>
            <w:noProof/>
          </w:rPr>
          <w:t>1</w:t>
        </w:r>
        <w:r>
          <w:rPr>
            <w:noProof/>
          </w:rPr>
          <w:fldChar w:fldCharType="end"/>
        </w:r>
      </w:p>
    </w:sdtContent>
  </w:sdt>
  <w:p w:rsidR="00F12DD3" w:rsidRDefault="00F12D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A30" w:rsidRDefault="004B0A30" w:rsidP="004B0A30">
      <w:pPr>
        <w:spacing w:after="0" w:line="240" w:lineRule="auto"/>
      </w:pPr>
      <w:r>
        <w:separator/>
      </w:r>
    </w:p>
  </w:footnote>
  <w:footnote w:type="continuationSeparator" w:id="0">
    <w:p w:rsidR="004B0A30" w:rsidRDefault="004B0A30" w:rsidP="004B0A30">
      <w:pPr>
        <w:spacing w:after="0" w:line="240" w:lineRule="auto"/>
      </w:pPr>
      <w:r>
        <w:continuationSeparator/>
      </w:r>
    </w:p>
  </w:footnote>
  <w:footnote w:id="1">
    <w:p w:rsidR="00544A33" w:rsidRPr="00544A33" w:rsidRDefault="00544A33">
      <w:pPr>
        <w:pStyle w:val="FootnoteText"/>
        <w:rPr>
          <w:lang w:val="en-US"/>
        </w:rPr>
      </w:pPr>
      <w:r>
        <w:rPr>
          <w:rStyle w:val="FootnoteReference"/>
        </w:rPr>
        <w:footnoteRef/>
      </w:r>
      <w:r>
        <w:t xml:space="preserve"> </w:t>
      </w:r>
      <w:r>
        <w:rPr>
          <w:lang w:val="en-US"/>
        </w:rPr>
        <w:t>Decayed, missing, filled teeth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57" w:rsidRDefault="00F12DD3" w:rsidP="004B0A30">
    <w:pPr>
      <w:pStyle w:val="Header"/>
      <w:jc w:val="center"/>
      <w:rPr>
        <w:b/>
        <w:lang w:val="en-US"/>
      </w:rPr>
    </w:pPr>
    <w:r>
      <w:rPr>
        <w:b/>
        <w:u w:val="single"/>
        <w:lang w:val="en-US"/>
      </w:rPr>
      <w:t xml:space="preserve">Selected excerpts from </w:t>
    </w:r>
    <w:r w:rsidR="004B0A30" w:rsidRPr="004B0A30">
      <w:rPr>
        <w:b/>
        <w:u w:val="single"/>
        <w:lang w:val="en-US"/>
      </w:rPr>
      <w:t>The Smith Family Report</w:t>
    </w:r>
    <w:r w:rsidR="004B0A30" w:rsidRPr="00F12DD3">
      <w:rPr>
        <w:b/>
        <w:lang w:val="en-US"/>
      </w:rPr>
      <w:t xml:space="preserve"> </w:t>
    </w:r>
  </w:p>
  <w:p w:rsidR="004B0A30" w:rsidRPr="005C3957" w:rsidRDefault="00F12DD3" w:rsidP="004B0A30">
    <w:pPr>
      <w:pStyle w:val="Header"/>
      <w:jc w:val="center"/>
      <w:rPr>
        <w:sz w:val="32"/>
        <w:szCs w:val="32"/>
        <w:u w:val="single"/>
        <w:lang w:val="en-US"/>
      </w:rPr>
    </w:pPr>
    <w:r w:rsidRPr="005C3957">
      <w:rPr>
        <w:sz w:val="32"/>
        <w:szCs w:val="32"/>
        <w:u w:val="single"/>
        <w:lang w:val="en-US"/>
      </w:rPr>
      <w:t>“</w:t>
    </w:r>
    <w:r w:rsidRPr="005C3957">
      <w:rPr>
        <w:sz w:val="32"/>
        <w:szCs w:val="32"/>
        <w:u w:val="single"/>
      </w:rPr>
      <w:t>How is learning enhanced through improved health and nutrition?</w:t>
    </w:r>
    <w:r w:rsidRPr="005C3957">
      <w:rPr>
        <w:sz w:val="32"/>
        <w:szCs w:val="32"/>
        <w:u w:val="single"/>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C2C49"/>
    <w:multiLevelType w:val="hybridMultilevel"/>
    <w:tmpl w:val="3926D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F62FB0"/>
    <w:multiLevelType w:val="hybridMultilevel"/>
    <w:tmpl w:val="41C82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A30"/>
    <w:rsid w:val="00081232"/>
    <w:rsid w:val="000920CC"/>
    <w:rsid w:val="001D500D"/>
    <w:rsid w:val="003A4103"/>
    <w:rsid w:val="003B4D13"/>
    <w:rsid w:val="003C111A"/>
    <w:rsid w:val="00442540"/>
    <w:rsid w:val="00491B75"/>
    <w:rsid w:val="004B0A30"/>
    <w:rsid w:val="004E01C5"/>
    <w:rsid w:val="00544A33"/>
    <w:rsid w:val="005C3957"/>
    <w:rsid w:val="005E4E29"/>
    <w:rsid w:val="00624D88"/>
    <w:rsid w:val="00735716"/>
    <w:rsid w:val="00806F18"/>
    <w:rsid w:val="0089366E"/>
    <w:rsid w:val="00A81DF3"/>
    <w:rsid w:val="00AA6F7D"/>
    <w:rsid w:val="00BC445F"/>
    <w:rsid w:val="00D32518"/>
    <w:rsid w:val="00D469DA"/>
    <w:rsid w:val="00DA541B"/>
    <w:rsid w:val="00DB5009"/>
    <w:rsid w:val="00EC1F03"/>
    <w:rsid w:val="00F12D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30"/>
    <w:rPr>
      <w:rFonts w:ascii="Calibri" w:eastAsia="Calibri" w:hAnsi="Calibri" w:cs="Times New Roman"/>
    </w:rPr>
  </w:style>
  <w:style w:type="paragraph" w:styleId="Heading1">
    <w:name w:val="heading 1"/>
    <w:basedOn w:val="Normal"/>
    <w:next w:val="Normal"/>
    <w:link w:val="Heading1Char"/>
    <w:uiPriority w:val="9"/>
    <w:qFormat/>
    <w:rsid w:val="00F12DD3"/>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0A30"/>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B0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0A30"/>
    <w:rPr>
      <w:rFonts w:ascii="Calibri" w:eastAsia="Calibri" w:hAnsi="Calibri" w:cs="Times New Roman"/>
    </w:rPr>
  </w:style>
  <w:style w:type="paragraph" w:styleId="Footer">
    <w:name w:val="footer"/>
    <w:basedOn w:val="Normal"/>
    <w:link w:val="FooterChar"/>
    <w:uiPriority w:val="99"/>
    <w:unhideWhenUsed/>
    <w:rsid w:val="004B0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0A30"/>
    <w:rPr>
      <w:rFonts w:ascii="Calibri" w:eastAsia="Calibri" w:hAnsi="Calibri" w:cs="Times New Roman"/>
    </w:rPr>
  </w:style>
  <w:style w:type="paragraph" w:styleId="ListParagraph">
    <w:name w:val="List Paragraph"/>
    <w:basedOn w:val="Normal"/>
    <w:uiPriority w:val="34"/>
    <w:qFormat/>
    <w:rsid w:val="004E01C5"/>
    <w:pPr>
      <w:ind w:left="720"/>
      <w:contextualSpacing/>
    </w:pPr>
  </w:style>
  <w:style w:type="paragraph" w:styleId="BalloonText">
    <w:name w:val="Balloon Text"/>
    <w:basedOn w:val="Normal"/>
    <w:link w:val="BalloonTextChar"/>
    <w:uiPriority w:val="99"/>
    <w:semiHidden/>
    <w:unhideWhenUsed/>
    <w:rsid w:val="00F12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DD3"/>
    <w:rPr>
      <w:rFonts w:ascii="Tahoma" w:eastAsia="Calibri" w:hAnsi="Tahoma" w:cs="Tahoma"/>
      <w:sz w:val="16"/>
      <w:szCs w:val="16"/>
    </w:rPr>
  </w:style>
  <w:style w:type="character" w:customStyle="1" w:styleId="Heading1Char">
    <w:name w:val="Heading 1 Char"/>
    <w:basedOn w:val="DefaultParagraphFont"/>
    <w:link w:val="Heading1"/>
    <w:uiPriority w:val="9"/>
    <w:rsid w:val="00F12DD3"/>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F12DD3"/>
  </w:style>
  <w:style w:type="paragraph" w:styleId="FootnoteText">
    <w:name w:val="footnote text"/>
    <w:basedOn w:val="Normal"/>
    <w:link w:val="FootnoteTextChar"/>
    <w:uiPriority w:val="99"/>
    <w:semiHidden/>
    <w:unhideWhenUsed/>
    <w:rsid w:val="00544A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4A33"/>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544A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30"/>
    <w:rPr>
      <w:rFonts w:ascii="Calibri" w:eastAsia="Calibri" w:hAnsi="Calibri" w:cs="Times New Roman"/>
    </w:rPr>
  </w:style>
  <w:style w:type="paragraph" w:styleId="Heading1">
    <w:name w:val="heading 1"/>
    <w:basedOn w:val="Normal"/>
    <w:next w:val="Normal"/>
    <w:link w:val="Heading1Char"/>
    <w:uiPriority w:val="9"/>
    <w:qFormat/>
    <w:rsid w:val="00F12DD3"/>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0A30"/>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B0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0A30"/>
    <w:rPr>
      <w:rFonts w:ascii="Calibri" w:eastAsia="Calibri" w:hAnsi="Calibri" w:cs="Times New Roman"/>
    </w:rPr>
  </w:style>
  <w:style w:type="paragraph" w:styleId="Footer">
    <w:name w:val="footer"/>
    <w:basedOn w:val="Normal"/>
    <w:link w:val="FooterChar"/>
    <w:uiPriority w:val="99"/>
    <w:unhideWhenUsed/>
    <w:rsid w:val="004B0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0A30"/>
    <w:rPr>
      <w:rFonts w:ascii="Calibri" w:eastAsia="Calibri" w:hAnsi="Calibri" w:cs="Times New Roman"/>
    </w:rPr>
  </w:style>
  <w:style w:type="paragraph" w:styleId="ListParagraph">
    <w:name w:val="List Paragraph"/>
    <w:basedOn w:val="Normal"/>
    <w:uiPriority w:val="34"/>
    <w:qFormat/>
    <w:rsid w:val="004E01C5"/>
    <w:pPr>
      <w:ind w:left="720"/>
      <w:contextualSpacing/>
    </w:pPr>
  </w:style>
  <w:style w:type="paragraph" w:styleId="BalloonText">
    <w:name w:val="Balloon Text"/>
    <w:basedOn w:val="Normal"/>
    <w:link w:val="BalloonTextChar"/>
    <w:uiPriority w:val="99"/>
    <w:semiHidden/>
    <w:unhideWhenUsed/>
    <w:rsid w:val="00F12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DD3"/>
    <w:rPr>
      <w:rFonts w:ascii="Tahoma" w:eastAsia="Calibri" w:hAnsi="Tahoma" w:cs="Tahoma"/>
      <w:sz w:val="16"/>
      <w:szCs w:val="16"/>
    </w:rPr>
  </w:style>
  <w:style w:type="character" w:customStyle="1" w:styleId="Heading1Char">
    <w:name w:val="Heading 1 Char"/>
    <w:basedOn w:val="DefaultParagraphFont"/>
    <w:link w:val="Heading1"/>
    <w:uiPriority w:val="9"/>
    <w:rsid w:val="00F12DD3"/>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F12DD3"/>
  </w:style>
  <w:style w:type="paragraph" w:styleId="FootnoteText">
    <w:name w:val="footnote text"/>
    <w:basedOn w:val="Normal"/>
    <w:link w:val="FootnoteTextChar"/>
    <w:uiPriority w:val="99"/>
    <w:semiHidden/>
    <w:unhideWhenUsed/>
    <w:rsid w:val="00544A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4A33"/>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544A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The11</b:Tag>
    <b:SourceType>Report</b:SourceType>
    <b:Guid>{C034F80B-ADD9-4ECA-B75A-5C0157D97CAD}</b:Guid>
    <b:Title>How is learning enhanced through improved nutrition?</b:Title>
    <b:Year>2011</b:Year>
    <b:Author>
      <b:Author>
        <b:Corporate>The Smith Family</b:Corporate>
      </b:Author>
    </b:Author>
    <b:Publisher>The Smith Family</b:Publisher>
    <b:City>Sydney</b:City>
    <b:RefOrder>1</b:RefOrder>
  </b:Source>
</b:Sources>
</file>

<file path=customXml/itemProps1.xml><?xml version="1.0" encoding="utf-8"?>
<ds:datastoreItem xmlns:ds="http://schemas.openxmlformats.org/officeDocument/2006/customXml" ds:itemID="{F13CF629-1CF5-4418-830C-66F3D0BA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2883</Words>
  <Characters>16436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 Mcintyre</dc:creator>
  <cp:lastModifiedBy>Penny Mcintyre</cp:lastModifiedBy>
  <cp:revision>17</cp:revision>
  <dcterms:created xsi:type="dcterms:W3CDTF">2013-07-26T04:55:00Z</dcterms:created>
  <dcterms:modified xsi:type="dcterms:W3CDTF">2013-07-26T08:21:00Z</dcterms:modified>
</cp:coreProperties>
</file>